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DD" w:rsidRDefault="00CC1DDD" w:rsidP="00E123B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FALSE CLAIMS ACTIONS BASED ON THE </w:t>
      </w:r>
      <w:r w:rsidR="00E123BD">
        <w:rPr>
          <w:rFonts w:ascii="Times New Roman" w:hAnsi="Times New Roman" w:cs="Times New Roman"/>
          <w:b/>
          <w:sz w:val="24"/>
          <w:szCs w:val="24"/>
          <w:u w:val="single"/>
        </w:rPr>
        <w:t>OFF-</w:t>
      </w:r>
      <w:r>
        <w:rPr>
          <w:rFonts w:ascii="Times New Roman" w:hAnsi="Times New Roman" w:cs="Times New Roman"/>
          <w:b/>
          <w:sz w:val="24"/>
          <w:szCs w:val="24"/>
          <w:u w:val="single"/>
        </w:rPr>
        <w:t xml:space="preserve">LABEL MARKETING OF </w:t>
      </w:r>
      <w:r w:rsidR="00E123BD">
        <w:rPr>
          <w:rFonts w:ascii="Times New Roman" w:hAnsi="Times New Roman" w:cs="Times New Roman"/>
          <w:b/>
          <w:sz w:val="24"/>
          <w:szCs w:val="24"/>
          <w:u w:val="single"/>
        </w:rPr>
        <w:t>DRUGS:</w:t>
      </w:r>
    </w:p>
    <w:p w:rsidR="00E123BD" w:rsidRDefault="007F0064" w:rsidP="00E123BD">
      <w:pPr>
        <w:jc w:val="center"/>
        <w:rPr>
          <w:rFonts w:ascii="Times New Roman" w:hAnsi="Times New Roman" w:cs="Times New Roman"/>
          <w:b/>
          <w:i/>
          <w:sz w:val="24"/>
          <w:szCs w:val="24"/>
          <w:u w:val="single"/>
        </w:rPr>
      </w:pPr>
      <w:r>
        <w:rPr>
          <w:rFonts w:ascii="Times New Roman" w:hAnsi="Times New Roman" w:cs="Times New Roman"/>
          <w:b/>
          <w:sz w:val="24"/>
          <w:szCs w:val="24"/>
          <w:u w:val="single"/>
        </w:rPr>
        <w:t>A COMPARISON OF</w:t>
      </w:r>
      <w:r w:rsidR="00E123BD">
        <w:rPr>
          <w:rFonts w:ascii="Times New Roman" w:hAnsi="Times New Roman" w:cs="Times New Roman"/>
          <w:b/>
          <w:sz w:val="24"/>
          <w:szCs w:val="24"/>
          <w:u w:val="single"/>
        </w:rPr>
        <w:t xml:space="preserve"> </w:t>
      </w:r>
      <w:r w:rsidR="00E123BD">
        <w:rPr>
          <w:rFonts w:ascii="Times New Roman" w:hAnsi="Times New Roman" w:cs="Times New Roman"/>
          <w:b/>
          <w:i/>
          <w:sz w:val="24"/>
          <w:szCs w:val="24"/>
          <w:u w:val="single"/>
        </w:rPr>
        <w:t xml:space="preserve">KING, D’AGOSTINO, CAMPIE, </w:t>
      </w:r>
      <w:r w:rsidR="00E123BD" w:rsidRPr="00E0452E">
        <w:rPr>
          <w:rFonts w:ascii="Times New Roman" w:hAnsi="Times New Roman" w:cs="Times New Roman"/>
          <w:b/>
          <w:sz w:val="24"/>
          <w:szCs w:val="24"/>
          <w:u w:val="single"/>
        </w:rPr>
        <w:t>AND</w:t>
      </w:r>
      <w:r w:rsidR="00E123BD">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BROWN</w:t>
      </w:r>
    </w:p>
    <w:p w:rsidR="00AD5015" w:rsidRDefault="00AD5015" w:rsidP="00E123BD">
      <w:pPr>
        <w:jc w:val="center"/>
        <w:rPr>
          <w:rFonts w:ascii="Times New Roman" w:hAnsi="Times New Roman" w:cs="Times New Roman"/>
          <w:b/>
          <w:i/>
          <w:sz w:val="24"/>
          <w:szCs w:val="24"/>
          <w:u w:val="single"/>
        </w:rPr>
      </w:pPr>
    </w:p>
    <w:p w:rsidR="00CC1DDD" w:rsidRDefault="00AD5015" w:rsidP="00CC1DDD">
      <w:pPr>
        <w:jc w:val="center"/>
        <w:rPr>
          <w:rFonts w:ascii="Times New Roman" w:hAnsi="Times New Roman" w:cs="Times New Roman"/>
          <w:sz w:val="24"/>
          <w:szCs w:val="24"/>
        </w:rPr>
      </w:pPr>
      <w:r w:rsidRPr="00AD5015">
        <w:rPr>
          <w:rFonts w:ascii="Times New Roman" w:hAnsi="Times New Roman" w:cs="Times New Roman"/>
          <w:sz w:val="24"/>
          <w:szCs w:val="24"/>
        </w:rPr>
        <w:t>Robert Vogel</w:t>
      </w:r>
    </w:p>
    <w:p w:rsidR="00984755" w:rsidRDefault="00984755" w:rsidP="00CC1DDD">
      <w:pPr>
        <w:jc w:val="center"/>
        <w:rPr>
          <w:rFonts w:ascii="Times New Roman" w:hAnsi="Times New Roman" w:cs="Times New Roman"/>
          <w:sz w:val="24"/>
          <w:szCs w:val="24"/>
        </w:rPr>
      </w:pPr>
      <w:r>
        <w:rPr>
          <w:rFonts w:ascii="Times New Roman" w:hAnsi="Times New Roman" w:cs="Times New Roman"/>
          <w:sz w:val="24"/>
          <w:szCs w:val="24"/>
        </w:rPr>
        <w:t>Sylvia Pap</w:t>
      </w:r>
    </w:p>
    <w:p w:rsidR="008E7D11" w:rsidRPr="00AD5015" w:rsidRDefault="008E7D11" w:rsidP="00BD057A">
      <w:pPr>
        <w:jc w:val="center"/>
        <w:rPr>
          <w:rFonts w:ascii="Times New Roman" w:hAnsi="Times New Roman" w:cs="Times New Roman"/>
          <w:sz w:val="24"/>
          <w:szCs w:val="24"/>
        </w:rPr>
      </w:pPr>
      <w:r>
        <w:rPr>
          <w:rFonts w:ascii="Times New Roman" w:hAnsi="Times New Roman" w:cs="Times New Roman"/>
          <w:sz w:val="24"/>
          <w:szCs w:val="24"/>
        </w:rPr>
        <w:t>Vogel, Slade &amp; Goldstein, LLP</w:t>
      </w:r>
    </w:p>
    <w:p w:rsidR="00AD5015" w:rsidRPr="00AD5015" w:rsidRDefault="00AD5015" w:rsidP="00E123BD">
      <w:pPr>
        <w:jc w:val="center"/>
        <w:rPr>
          <w:rFonts w:ascii="Times New Roman" w:hAnsi="Times New Roman" w:cs="Times New Roman"/>
          <w:sz w:val="24"/>
          <w:szCs w:val="24"/>
        </w:rPr>
      </w:pPr>
      <w:r w:rsidRPr="00AD5015">
        <w:rPr>
          <w:rFonts w:ascii="Times New Roman" w:hAnsi="Times New Roman" w:cs="Times New Roman"/>
          <w:sz w:val="24"/>
          <w:szCs w:val="24"/>
        </w:rPr>
        <w:t>March 2018</w:t>
      </w:r>
      <w:bookmarkStart w:id="0" w:name="_GoBack"/>
      <w:bookmarkEnd w:id="0"/>
    </w:p>
    <w:p w:rsidR="00387640" w:rsidRPr="001146E1" w:rsidRDefault="00387640" w:rsidP="00805BB7">
      <w:pPr>
        <w:spacing w:line="480" w:lineRule="auto"/>
        <w:rPr>
          <w:rFonts w:ascii="Times New Roman" w:hAnsi="Times New Roman" w:cs="Times New Roman"/>
          <w:sz w:val="24"/>
          <w:szCs w:val="24"/>
          <w:u w:val="single"/>
        </w:rPr>
      </w:pPr>
    </w:p>
    <w:p w:rsidR="00E123BD" w:rsidRDefault="008445AD" w:rsidP="00E123BD">
      <w:pPr>
        <w:spacing w:line="480" w:lineRule="auto"/>
        <w:ind w:firstLine="720"/>
        <w:rPr>
          <w:rFonts w:ascii="Times New Roman" w:hAnsi="Times New Roman" w:cs="Times New Roman"/>
          <w:sz w:val="24"/>
          <w:szCs w:val="24"/>
        </w:rPr>
      </w:pPr>
      <w:r w:rsidRPr="001146E1">
        <w:rPr>
          <w:rFonts w:ascii="Times New Roman" w:hAnsi="Times New Roman" w:cs="Times New Roman"/>
          <w:sz w:val="24"/>
          <w:szCs w:val="24"/>
        </w:rPr>
        <w:t xml:space="preserve">The Food, Drug and Cosmetic Act (“FDCA”) forbids pharmaceutical manufacturers from marketing or selling a drug until the Food and Drug Administration (“FDA”) has approved it as safe and effective for its intended use or uses (the drug's “indications”). </w:t>
      </w:r>
      <w:r w:rsidRPr="00C225DB">
        <w:rPr>
          <w:rFonts w:ascii="Times New Roman" w:hAnsi="Times New Roman" w:cs="Times New Roman"/>
          <w:i/>
          <w:sz w:val="24"/>
          <w:szCs w:val="24"/>
        </w:rPr>
        <w:t>See</w:t>
      </w:r>
      <w:r w:rsidRPr="001146E1">
        <w:rPr>
          <w:rFonts w:ascii="Times New Roman" w:hAnsi="Times New Roman" w:cs="Times New Roman"/>
          <w:sz w:val="24"/>
          <w:szCs w:val="24"/>
        </w:rPr>
        <w:t xml:space="preserve"> 21 U.S.C. §</w:t>
      </w:r>
      <w:r w:rsidR="00D0571D">
        <w:rPr>
          <w:rFonts w:ascii="Times New Roman" w:hAnsi="Times New Roman" w:cs="Times New Roman"/>
          <w:sz w:val="24"/>
          <w:szCs w:val="24"/>
        </w:rPr>
        <w:t>§</w:t>
      </w:r>
      <w:r w:rsidRPr="001146E1">
        <w:rPr>
          <w:rFonts w:ascii="Times New Roman" w:hAnsi="Times New Roman" w:cs="Times New Roman"/>
          <w:sz w:val="24"/>
          <w:szCs w:val="24"/>
        </w:rPr>
        <w:t xml:space="preserve"> 355(a), (d). </w:t>
      </w:r>
      <w:r w:rsidR="00C225DB">
        <w:rPr>
          <w:rFonts w:ascii="Times New Roman" w:hAnsi="Times New Roman" w:cs="Times New Roman"/>
          <w:sz w:val="24"/>
          <w:szCs w:val="24"/>
        </w:rPr>
        <w:t>A</w:t>
      </w:r>
      <w:r w:rsidR="00091715">
        <w:rPr>
          <w:rFonts w:ascii="Times New Roman" w:hAnsi="Times New Roman" w:cs="Times New Roman"/>
          <w:sz w:val="24"/>
          <w:szCs w:val="24"/>
        </w:rPr>
        <w:t>n</w:t>
      </w:r>
      <w:r w:rsidR="00E0452E">
        <w:rPr>
          <w:rFonts w:ascii="Times New Roman" w:hAnsi="Times New Roman" w:cs="Times New Roman"/>
          <w:sz w:val="24"/>
          <w:szCs w:val="24"/>
        </w:rPr>
        <w:t xml:space="preserve"> </w:t>
      </w:r>
      <w:r w:rsidR="00E0452E" w:rsidRPr="00091715">
        <w:rPr>
          <w:rFonts w:ascii="Times New Roman" w:hAnsi="Times New Roman" w:cs="Times New Roman"/>
          <w:i/>
          <w:sz w:val="24"/>
          <w:szCs w:val="24"/>
        </w:rPr>
        <w:t>unapproved</w:t>
      </w:r>
      <w:r w:rsidR="00E0452E">
        <w:rPr>
          <w:rFonts w:ascii="Times New Roman" w:hAnsi="Times New Roman" w:cs="Times New Roman"/>
          <w:sz w:val="24"/>
          <w:szCs w:val="24"/>
        </w:rPr>
        <w:t xml:space="preserve"> </w:t>
      </w:r>
      <w:r w:rsidR="00091715">
        <w:rPr>
          <w:rFonts w:ascii="Times New Roman" w:hAnsi="Times New Roman" w:cs="Times New Roman"/>
          <w:sz w:val="24"/>
          <w:szCs w:val="24"/>
        </w:rPr>
        <w:t>use</w:t>
      </w:r>
      <w:r w:rsidR="00C225DB">
        <w:rPr>
          <w:rFonts w:ascii="Times New Roman" w:hAnsi="Times New Roman" w:cs="Times New Roman"/>
          <w:sz w:val="24"/>
          <w:szCs w:val="24"/>
        </w:rPr>
        <w:t xml:space="preserve"> of an FDA-approved drug</w:t>
      </w:r>
      <w:r w:rsidR="00E0452E">
        <w:rPr>
          <w:rFonts w:ascii="Times New Roman" w:hAnsi="Times New Roman" w:cs="Times New Roman"/>
          <w:sz w:val="24"/>
          <w:szCs w:val="24"/>
        </w:rPr>
        <w:t xml:space="preserve"> is</w:t>
      </w:r>
      <w:r w:rsidRPr="001146E1">
        <w:rPr>
          <w:rFonts w:ascii="Times New Roman" w:hAnsi="Times New Roman" w:cs="Times New Roman"/>
          <w:sz w:val="24"/>
          <w:szCs w:val="24"/>
        </w:rPr>
        <w:t xml:space="preserve"> referred to as </w:t>
      </w:r>
      <w:r w:rsidR="00C225DB">
        <w:rPr>
          <w:rFonts w:ascii="Times New Roman" w:hAnsi="Times New Roman" w:cs="Times New Roman"/>
          <w:sz w:val="24"/>
          <w:szCs w:val="24"/>
        </w:rPr>
        <w:t>“</w:t>
      </w:r>
      <w:r w:rsidRPr="001146E1">
        <w:rPr>
          <w:rFonts w:ascii="Times New Roman" w:hAnsi="Times New Roman" w:cs="Times New Roman"/>
          <w:sz w:val="24"/>
          <w:szCs w:val="24"/>
        </w:rPr>
        <w:t>off-label.</w:t>
      </w:r>
      <w:r w:rsidR="00C225DB">
        <w:rPr>
          <w:rFonts w:ascii="Times New Roman" w:hAnsi="Times New Roman" w:cs="Times New Roman"/>
          <w:sz w:val="24"/>
          <w:szCs w:val="24"/>
        </w:rPr>
        <w:t>”</w:t>
      </w:r>
      <w:r w:rsidR="00387640" w:rsidRPr="001146E1">
        <w:rPr>
          <w:rStyle w:val="FootnoteReference"/>
          <w:rFonts w:ascii="Times New Roman" w:hAnsi="Times New Roman" w:cs="Times New Roman"/>
          <w:sz w:val="24"/>
          <w:szCs w:val="24"/>
        </w:rPr>
        <w:footnoteReference w:id="1"/>
      </w:r>
      <w:r w:rsidR="00387640" w:rsidRPr="001146E1">
        <w:rPr>
          <w:rFonts w:ascii="Times New Roman" w:hAnsi="Times New Roman" w:cs="Times New Roman"/>
          <w:sz w:val="24"/>
          <w:szCs w:val="24"/>
        </w:rPr>
        <w:t xml:space="preserve"> This can include</w:t>
      </w:r>
      <w:r w:rsidR="00C225DB">
        <w:rPr>
          <w:rFonts w:ascii="Times New Roman" w:hAnsi="Times New Roman" w:cs="Times New Roman"/>
          <w:sz w:val="24"/>
          <w:szCs w:val="24"/>
        </w:rPr>
        <w:t xml:space="preserve"> the use of</w:t>
      </w:r>
      <w:r w:rsidR="00387640" w:rsidRPr="001146E1">
        <w:rPr>
          <w:rFonts w:ascii="Times New Roman" w:hAnsi="Times New Roman" w:cs="Times New Roman"/>
          <w:sz w:val="24"/>
          <w:szCs w:val="24"/>
        </w:rPr>
        <w:t xml:space="preserve"> a drug for a disease or condition</w:t>
      </w:r>
      <w:r w:rsidR="00C225DB">
        <w:rPr>
          <w:rFonts w:ascii="Times New Roman" w:hAnsi="Times New Roman" w:cs="Times New Roman"/>
          <w:sz w:val="24"/>
          <w:szCs w:val="24"/>
        </w:rPr>
        <w:t xml:space="preserve"> that the drug</w:t>
      </w:r>
      <w:r w:rsidR="00387640" w:rsidRPr="001146E1">
        <w:rPr>
          <w:rFonts w:ascii="Times New Roman" w:hAnsi="Times New Roman" w:cs="Times New Roman"/>
          <w:sz w:val="24"/>
          <w:szCs w:val="24"/>
        </w:rPr>
        <w:t xml:space="preserve"> </w:t>
      </w:r>
      <w:r w:rsidR="00C225DB">
        <w:rPr>
          <w:rFonts w:ascii="Times New Roman" w:hAnsi="Times New Roman" w:cs="Times New Roman"/>
          <w:sz w:val="24"/>
          <w:szCs w:val="24"/>
        </w:rPr>
        <w:t>was</w:t>
      </w:r>
      <w:r w:rsidR="00387640" w:rsidRPr="001146E1">
        <w:rPr>
          <w:rFonts w:ascii="Times New Roman" w:hAnsi="Times New Roman" w:cs="Times New Roman"/>
          <w:sz w:val="24"/>
          <w:szCs w:val="24"/>
        </w:rPr>
        <w:t xml:space="preserve"> not approved to treat,</w:t>
      </w:r>
      <w:r w:rsidRPr="001146E1">
        <w:rPr>
          <w:rFonts w:ascii="Times New Roman" w:hAnsi="Times New Roman" w:cs="Times New Roman"/>
          <w:sz w:val="24"/>
          <w:szCs w:val="24"/>
        </w:rPr>
        <w:t xml:space="preserve"> </w:t>
      </w:r>
      <w:r w:rsidR="00C225DB">
        <w:rPr>
          <w:rFonts w:ascii="Times New Roman" w:hAnsi="Times New Roman" w:cs="Times New Roman"/>
          <w:sz w:val="24"/>
          <w:szCs w:val="24"/>
        </w:rPr>
        <w:t xml:space="preserve">or </w:t>
      </w:r>
      <w:r w:rsidRPr="001146E1">
        <w:rPr>
          <w:rFonts w:ascii="Times New Roman" w:hAnsi="Times New Roman" w:cs="Times New Roman"/>
          <w:sz w:val="24"/>
          <w:szCs w:val="24"/>
        </w:rPr>
        <w:t>administ</w:t>
      </w:r>
      <w:r w:rsidR="00681E99">
        <w:rPr>
          <w:rFonts w:ascii="Times New Roman" w:hAnsi="Times New Roman" w:cs="Times New Roman"/>
          <w:sz w:val="24"/>
          <w:szCs w:val="24"/>
        </w:rPr>
        <w:t>ration of the drug</w:t>
      </w:r>
      <w:r w:rsidR="00387640" w:rsidRPr="001146E1">
        <w:rPr>
          <w:rFonts w:ascii="Times New Roman" w:hAnsi="Times New Roman" w:cs="Times New Roman"/>
          <w:sz w:val="24"/>
          <w:szCs w:val="24"/>
        </w:rPr>
        <w:t xml:space="preserve"> in a different way</w:t>
      </w:r>
      <w:r w:rsidRPr="001146E1">
        <w:rPr>
          <w:rFonts w:ascii="Times New Roman" w:hAnsi="Times New Roman" w:cs="Times New Roman"/>
          <w:sz w:val="24"/>
          <w:szCs w:val="24"/>
        </w:rPr>
        <w:t xml:space="preserve"> or form</w:t>
      </w:r>
      <w:r w:rsidR="00C225DB">
        <w:rPr>
          <w:rFonts w:ascii="Times New Roman" w:hAnsi="Times New Roman" w:cs="Times New Roman"/>
          <w:sz w:val="24"/>
          <w:szCs w:val="24"/>
        </w:rPr>
        <w:t xml:space="preserve"> from what was approved</w:t>
      </w:r>
      <w:r w:rsidR="00387640" w:rsidRPr="001146E1">
        <w:rPr>
          <w:rFonts w:ascii="Times New Roman" w:hAnsi="Times New Roman" w:cs="Times New Roman"/>
          <w:sz w:val="24"/>
          <w:szCs w:val="24"/>
        </w:rPr>
        <w:t xml:space="preserve">, or </w:t>
      </w:r>
      <w:r w:rsidRPr="001146E1">
        <w:rPr>
          <w:rFonts w:ascii="Times New Roman" w:hAnsi="Times New Roman" w:cs="Times New Roman"/>
          <w:sz w:val="24"/>
          <w:szCs w:val="24"/>
        </w:rPr>
        <w:t xml:space="preserve">even </w:t>
      </w:r>
      <w:r w:rsidR="00387640" w:rsidRPr="001146E1">
        <w:rPr>
          <w:rFonts w:ascii="Times New Roman" w:hAnsi="Times New Roman" w:cs="Times New Roman"/>
          <w:sz w:val="24"/>
          <w:szCs w:val="24"/>
        </w:rPr>
        <w:t>a</w:t>
      </w:r>
      <w:r w:rsidR="00C225DB">
        <w:rPr>
          <w:rFonts w:ascii="Times New Roman" w:hAnsi="Times New Roman" w:cs="Times New Roman"/>
          <w:sz w:val="24"/>
          <w:szCs w:val="24"/>
        </w:rPr>
        <w:t>n unapproved</w:t>
      </w:r>
      <w:r w:rsidR="00387640" w:rsidRPr="001146E1">
        <w:rPr>
          <w:rFonts w:ascii="Times New Roman" w:hAnsi="Times New Roman" w:cs="Times New Roman"/>
          <w:sz w:val="24"/>
          <w:szCs w:val="24"/>
        </w:rPr>
        <w:t xml:space="preserve"> dos</w:t>
      </w:r>
      <w:r w:rsidR="00C225DB">
        <w:rPr>
          <w:rFonts w:ascii="Times New Roman" w:hAnsi="Times New Roman" w:cs="Times New Roman"/>
          <w:sz w:val="24"/>
          <w:szCs w:val="24"/>
        </w:rPr>
        <w:t>age of the drug</w:t>
      </w:r>
      <w:r w:rsidR="00387640" w:rsidRPr="001146E1">
        <w:rPr>
          <w:rFonts w:ascii="Times New Roman" w:hAnsi="Times New Roman" w:cs="Times New Roman"/>
          <w:sz w:val="24"/>
          <w:szCs w:val="24"/>
        </w:rPr>
        <w:t xml:space="preserve">. FDA </w:t>
      </w:r>
      <w:r w:rsidR="00C225DB">
        <w:rPr>
          <w:rFonts w:ascii="Times New Roman" w:hAnsi="Times New Roman" w:cs="Times New Roman"/>
          <w:sz w:val="24"/>
          <w:szCs w:val="24"/>
        </w:rPr>
        <w:t xml:space="preserve">generally </w:t>
      </w:r>
      <w:r w:rsidR="00387640" w:rsidRPr="001146E1">
        <w:rPr>
          <w:rFonts w:ascii="Times New Roman" w:hAnsi="Times New Roman" w:cs="Times New Roman"/>
          <w:sz w:val="24"/>
          <w:szCs w:val="24"/>
        </w:rPr>
        <w:t xml:space="preserve">does not restrict physicians from prescribing an otherwise FDA-approved drug for an off-label use. </w:t>
      </w:r>
      <w:r w:rsidR="00387640" w:rsidRPr="00C225DB">
        <w:rPr>
          <w:rFonts w:ascii="Times New Roman" w:hAnsi="Times New Roman" w:cs="Times New Roman"/>
          <w:i/>
          <w:sz w:val="24"/>
          <w:szCs w:val="24"/>
        </w:rPr>
        <w:t>See</w:t>
      </w:r>
      <w:r w:rsidR="00D0571D">
        <w:rPr>
          <w:rFonts w:ascii="Times New Roman" w:hAnsi="Times New Roman" w:cs="Times New Roman"/>
          <w:i/>
          <w:sz w:val="24"/>
          <w:szCs w:val="24"/>
        </w:rPr>
        <w:t xml:space="preserve"> </w:t>
      </w:r>
      <w:r w:rsidR="00D0571D">
        <w:rPr>
          <w:rFonts w:ascii="Times New Roman" w:hAnsi="Times New Roman" w:cs="Times New Roman"/>
          <w:sz w:val="24"/>
          <w:szCs w:val="24"/>
        </w:rPr>
        <w:t>21 C.F.R. §312.3(d) (exemption from FDA regulations for “the use in the practice of medicine for an unlabeled indication of a new drug product approved” by FDA)</w:t>
      </w:r>
      <w:r w:rsidR="00D0571D" w:rsidRPr="00C225DB">
        <w:rPr>
          <w:rFonts w:ascii="Times New Roman" w:hAnsi="Times New Roman" w:cs="Times New Roman"/>
          <w:sz w:val="24"/>
          <w:szCs w:val="24"/>
        </w:rPr>
        <w:t>;</w:t>
      </w:r>
      <w:r w:rsidR="00D0571D">
        <w:rPr>
          <w:rFonts w:ascii="Times New Roman" w:hAnsi="Times New Roman" w:cs="Times New Roman"/>
          <w:i/>
          <w:sz w:val="24"/>
          <w:szCs w:val="24"/>
        </w:rPr>
        <w:t xml:space="preserve"> </w:t>
      </w:r>
      <w:r w:rsidR="00D0571D" w:rsidRPr="00C225DB">
        <w:rPr>
          <w:rFonts w:ascii="Times New Roman" w:hAnsi="Times New Roman" w:cs="Times New Roman"/>
          <w:i/>
          <w:sz w:val="24"/>
          <w:szCs w:val="24"/>
        </w:rPr>
        <w:t>see</w:t>
      </w:r>
      <w:r w:rsidR="00D0571D">
        <w:rPr>
          <w:rFonts w:ascii="Times New Roman" w:hAnsi="Times New Roman" w:cs="Times New Roman"/>
          <w:sz w:val="24"/>
          <w:szCs w:val="24"/>
        </w:rPr>
        <w:t xml:space="preserve"> </w:t>
      </w:r>
      <w:r w:rsidR="00D0571D" w:rsidRPr="00C225DB">
        <w:rPr>
          <w:rFonts w:ascii="Times New Roman" w:hAnsi="Times New Roman" w:cs="Times New Roman"/>
          <w:i/>
          <w:sz w:val="24"/>
          <w:szCs w:val="24"/>
        </w:rPr>
        <w:t>also</w:t>
      </w:r>
      <w:r w:rsidR="00D0571D">
        <w:rPr>
          <w:rFonts w:ascii="Times New Roman" w:hAnsi="Times New Roman" w:cs="Times New Roman"/>
          <w:sz w:val="24"/>
          <w:szCs w:val="24"/>
        </w:rPr>
        <w:t xml:space="preserve"> </w:t>
      </w:r>
      <w:r w:rsidR="00387640" w:rsidRPr="001146E1">
        <w:rPr>
          <w:rFonts w:ascii="Times New Roman" w:hAnsi="Times New Roman" w:cs="Times New Roman"/>
          <w:sz w:val="24"/>
          <w:szCs w:val="24"/>
        </w:rPr>
        <w:t>21 U.S.C. § 396 (“Nothing in this chapter shall be construed to limit or interfere with the authority of a health care practitioner to prescribe or administer any legally marketed device to a patient for any condition or disease within a legitimate health care practitioner-patient relationship.”).</w:t>
      </w:r>
      <w:r w:rsidR="00EF1F27" w:rsidRPr="001146E1">
        <w:rPr>
          <w:rFonts w:ascii="Times New Roman" w:hAnsi="Times New Roman" w:cs="Times New Roman"/>
          <w:sz w:val="24"/>
          <w:szCs w:val="24"/>
        </w:rPr>
        <w:t xml:space="preserve"> </w:t>
      </w:r>
      <w:r w:rsidR="00E123BD">
        <w:rPr>
          <w:rFonts w:ascii="Times New Roman" w:hAnsi="Times New Roman" w:cs="Times New Roman"/>
          <w:sz w:val="24"/>
          <w:szCs w:val="24"/>
        </w:rPr>
        <w:t xml:space="preserve"> </w:t>
      </w:r>
    </w:p>
    <w:p w:rsidR="008F6783" w:rsidRPr="00C25458" w:rsidRDefault="00EF1F27" w:rsidP="00E123BD">
      <w:pPr>
        <w:spacing w:line="480" w:lineRule="auto"/>
        <w:ind w:firstLine="720"/>
        <w:rPr>
          <w:rFonts w:ascii="Times New Roman" w:hAnsi="Times New Roman" w:cs="Times New Roman"/>
          <w:sz w:val="24"/>
          <w:szCs w:val="24"/>
        </w:rPr>
      </w:pPr>
      <w:r w:rsidRPr="001146E1">
        <w:rPr>
          <w:rFonts w:ascii="Times New Roman" w:hAnsi="Times New Roman" w:cs="Times New Roman"/>
          <w:sz w:val="24"/>
          <w:szCs w:val="24"/>
        </w:rPr>
        <w:t xml:space="preserve">Demonstrating </w:t>
      </w:r>
      <w:r w:rsidR="000038A2">
        <w:rPr>
          <w:rFonts w:ascii="Times New Roman" w:hAnsi="Times New Roman" w:cs="Times New Roman"/>
          <w:sz w:val="24"/>
          <w:szCs w:val="24"/>
        </w:rPr>
        <w:t xml:space="preserve">False Claims Act liability resulting from the </w:t>
      </w:r>
      <w:r w:rsidRPr="001146E1">
        <w:rPr>
          <w:rFonts w:ascii="Times New Roman" w:hAnsi="Times New Roman" w:cs="Times New Roman"/>
          <w:sz w:val="24"/>
          <w:szCs w:val="24"/>
        </w:rPr>
        <w:t xml:space="preserve">marketing </w:t>
      </w:r>
      <w:r w:rsidR="000038A2">
        <w:rPr>
          <w:rFonts w:ascii="Times New Roman" w:hAnsi="Times New Roman" w:cs="Times New Roman"/>
          <w:sz w:val="24"/>
          <w:szCs w:val="24"/>
        </w:rPr>
        <w:t xml:space="preserve">of </w:t>
      </w:r>
      <w:r w:rsidRPr="001146E1">
        <w:rPr>
          <w:rFonts w:ascii="Times New Roman" w:hAnsi="Times New Roman" w:cs="Times New Roman"/>
          <w:sz w:val="24"/>
          <w:szCs w:val="24"/>
        </w:rPr>
        <w:t xml:space="preserve">prescription medications for off-label uses has proven difficult for </w:t>
      </w:r>
      <w:r w:rsidR="000038A2">
        <w:rPr>
          <w:rFonts w:ascii="Times New Roman" w:hAnsi="Times New Roman" w:cs="Times New Roman"/>
          <w:sz w:val="24"/>
          <w:szCs w:val="24"/>
        </w:rPr>
        <w:t xml:space="preserve">a number of </w:t>
      </w:r>
      <w:r w:rsidRPr="001146E1">
        <w:rPr>
          <w:rFonts w:ascii="Times New Roman" w:hAnsi="Times New Roman" w:cs="Times New Roman"/>
          <w:sz w:val="24"/>
          <w:szCs w:val="24"/>
        </w:rPr>
        <w:t>reasons</w:t>
      </w:r>
      <w:r w:rsidR="000038A2">
        <w:rPr>
          <w:rFonts w:ascii="Times New Roman" w:hAnsi="Times New Roman" w:cs="Times New Roman"/>
          <w:sz w:val="24"/>
          <w:szCs w:val="24"/>
        </w:rPr>
        <w:t xml:space="preserve">, </w:t>
      </w:r>
      <w:r w:rsidR="008B433D">
        <w:rPr>
          <w:rFonts w:ascii="Times New Roman" w:hAnsi="Times New Roman" w:cs="Times New Roman"/>
          <w:sz w:val="24"/>
          <w:szCs w:val="24"/>
        </w:rPr>
        <w:t>as seen in</w:t>
      </w:r>
      <w:r w:rsidR="008F6783">
        <w:rPr>
          <w:rFonts w:ascii="Times New Roman" w:hAnsi="Times New Roman" w:cs="Times New Roman"/>
          <w:sz w:val="24"/>
          <w:szCs w:val="24"/>
        </w:rPr>
        <w:t xml:space="preserve"> </w:t>
      </w:r>
      <w:r w:rsidR="00B20DF9">
        <w:rPr>
          <w:rFonts w:ascii="Times New Roman" w:hAnsi="Times New Roman" w:cs="Times New Roman"/>
          <w:sz w:val="24"/>
          <w:szCs w:val="24"/>
        </w:rPr>
        <w:t xml:space="preserve">recent </w:t>
      </w:r>
      <w:r w:rsidR="008F6783">
        <w:rPr>
          <w:rFonts w:ascii="Times New Roman" w:hAnsi="Times New Roman" w:cs="Times New Roman"/>
          <w:sz w:val="24"/>
          <w:szCs w:val="24"/>
        </w:rPr>
        <w:t xml:space="preserve">cases such as </w:t>
      </w:r>
      <w:r w:rsidR="008F6783">
        <w:rPr>
          <w:rFonts w:ascii="Times New Roman" w:hAnsi="Times New Roman" w:cs="Times New Roman"/>
          <w:i/>
          <w:sz w:val="24"/>
          <w:szCs w:val="24"/>
        </w:rPr>
        <w:t xml:space="preserve">United States ex rel. King v. Solvay Pharmaceuticals, </w:t>
      </w:r>
      <w:r w:rsidR="008F6783">
        <w:rPr>
          <w:rFonts w:ascii="Times New Roman" w:hAnsi="Times New Roman" w:cs="Times New Roman"/>
          <w:sz w:val="24"/>
          <w:szCs w:val="24"/>
        </w:rPr>
        <w:t>871 F.3d 318 (5th Cir. 2017) (“</w:t>
      </w:r>
      <w:r w:rsidR="008F6783" w:rsidRPr="00E123BD">
        <w:rPr>
          <w:rFonts w:ascii="Times New Roman" w:hAnsi="Times New Roman" w:cs="Times New Roman"/>
          <w:i/>
          <w:sz w:val="24"/>
          <w:szCs w:val="24"/>
        </w:rPr>
        <w:t>King</w:t>
      </w:r>
      <w:r w:rsidR="008F6783">
        <w:rPr>
          <w:rFonts w:ascii="Times New Roman" w:hAnsi="Times New Roman" w:cs="Times New Roman"/>
          <w:sz w:val="24"/>
          <w:szCs w:val="24"/>
        </w:rPr>
        <w:t xml:space="preserve">”) and </w:t>
      </w:r>
      <w:r w:rsidR="008F6783" w:rsidRPr="008F6783">
        <w:rPr>
          <w:rFonts w:ascii="Times New Roman" w:hAnsi="Times New Roman" w:cs="Times New Roman"/>
          <w:i/>
          <w:sz w:val="24"/>
          <w:szCs w:val="24"/>
        </w:rPr>
        <w:t>D'Agostino v. ev3, Inc.</w:t>
      </w:r>
      <w:r w:rsidR="008F6783" w:rsidRPr="008F6783">
        <w:rPr>
          <w:rFonts w:ascii="Times New Roman" w:hAnsi="Times New Roman" w:cs="Times New Roman"/>
          <w:sz w:val="24"/>
          <w:szCs w:val="24"/>
        </w:rPr>
        <w:t>, 845 F.3d 1 (1st Cir. 2016) (“</w:t>
      </w:r>
      <w:r w:rsidR="008F6783" w:rsidRPr="008F6783">
        <w:rPr>
          <w:rFonts w:ascii="Times New Roman" w:hAnsi="Times New Roman" w:cs="Times New Roman"/>
          <w:i/>
          <w:sz w:val="24"/>
          <w:szCs w:val="24"/>
        </w:rPr>
        <w:t>D'Agostino”</w:t>
      </w:r>
      <w:r w:rsidR="008F6783" w:rsidRPr="008F6783">
        <w:rPr>
          <w:rFonts w:ascii="Times New Roman" w:hAnsi="Times New Roman" w:cs="Times New Roman"/>
          <w:sz w:val="24"/>
          <w:szCs w:val="24"/>
        </w:rPr>
        <w:t>)</w:t>
      </w:r>
      <w:r w:rsidR="003B0969">
        <w:rPr>
          <w:rFonts w:ascii="Times New Roman" w:hAnsi="Times New Roman" w:cs="Times New Roman"/>
          <w:sz w:val="24"/>
          <w:szCs w:val="24"/>
        </w:rPr>
        <w:t xml:space="preserve">. </w:t>
      </w:r>
      <w:r w:rsidR="00B20DF9">
        <w:rPr>
          <w:rFonts w:ascii="Times New Roman" w:hAnsi="Times New Roman" w:cs="Times New Roman"/>
          <w:sz w:val="24"/>
          <w:szCs w:val="24"/>
        </w:rPr>
        <w:t>By</w:t>
      </w:r>
      <w:r w:rsidR="003B0969">
        <w:rPr>
          <w:rFonts w:ascii="Times New Roman" w:hAnsi="Times New Roman" w:cs="Times New Roman"/>
          <w:sz w:val="24"/>
          <w:szCs w:val="24"/>
        </w:rPr>
        <w:t xml:space="preserve"> contrast, </w:t>
      </w:r>
      <w:r w:rsidR="00B20DF9">
        <w:rPr>
          <w:rFonts w:ascii="Times New Roman" w:hAnsi="Times New Roman" w:cs="Times New Roman"/>
          <w:sz w:val="24"/>
          <w:szCs w:val="24"/>
        </w:rPr>
        <w:t xml:space="preserve">in </w:t>
      </w:r>
      <w:r w:rsidR="003B0969">
        <w:rPr>
          <w:rFonts w:ascii="Times New Roman" w:hAnsi="Times New Roman" w:cs="Times New Roman"/>
          <w:sz w:val="24"/>
          <w:szCs w:val="24"/>
        </w:rPr>
        <w:t xml:space="preserve">two cases </w:t>
      </w:r>
      <w:r w:rsidR="00B20DF9">
        <w:rPr>
          <w:rFonts w:ascii="Times New Roman" w:hAnsi="Times New Roman" w:cs="Times New Roman"/>
          <w:sz w:val="24"/>
          <w:szCs w:val="24"/>
        </w:rPr>
        <w:t xml:space="preserve">where courts have allowed plaintiffs to proceed on theories that defendants violated </w:t>
      </w:r>
      <w:r w:rsidR="00B20DF9">
        <w:rPr>
          <w:rFonts w:ascii="Times New Roman" w:hAnsi="Times New Roman" w:cs="Times New Roman"/>
          <w:sz w:val="24"/>
          <w:szCs w:val="24"/>
        </w:rPr>
        <w:lastRenderedPageBreak/>
        <w:t xml:space="preserve">the </w:t>
      </w:r>
      <w:r w:rsidR="003B0969">
        <w:rPr>
          <w:rFonts w:ascii="Times New Roman" w:hAnsi="Times New Roman" w:cs="Times New Roman"/>
          <w:sz w:val="24"/>
          <w:szCs w:val="24"/>
        </w:rPr>
        <w:t xml:space="preserve">FCA </w:t>
      </w:r>
      <w:r w:rsidR="00B20DF9">
        <w:rPr>
          <w:rFonts w:ascii="Times New Roman" w:hAnsi="Times New Roman" w:cs="Times New Roman"/>
          <w:sz w:val="24"/>
          <w:szCs w:val="24"/>
        </w:rPr>
        <w:t>by causing the submission of claims for reimbursement for drugs that were marketed off label,</w:t>
      </w:r>
      <w:r w:rsidR="003B0969">
        <w:rPr>
          <w:rFonts w:ascii="Times New Roman" w:hAnsi="Times New Roman" w:cs="Times New Roman"/>
          <w:sz w:val="24"/>
          <w:szCs w:val="24"/>
        </w:rPr>
        <w:t xml:space="preserve">, </w:t>
      </w:r>
      <w:r w:rsidR="00E5503A">
        <w:rPr>
          <w:rFonts w:ascii="Times New Roman" w:hAnsi="Times New Roman" w:cs="Times New Roman"/>
          <w:i/>
          <w:sz w:val="24"/>
          <w:szCs w:val="24"/>
        </w:rPr>
        <w:t xml:space="preserve">United States ex rel. Campie v. Gilead Sciences, Inc., </w:t>
      </w:r>
      <w:r w:rsidR="00E5503A" w:rsidRPr="00C25458">
        <w:rPr>
          <w:rFonts w:ascii="Times New Roman" w:hAnsi="Times New Roman" w:cs="Times New Roman"/>
          <w:sz w:val="24"/>
          <w:szCs w:val="24"/>
        </w:rPr>
        <w:t>862 F.3d 890</w:t>
      </w:r>
      <w:r w:rsidR="00E5503A">
        <w:rPr>
          <w:rFonts w:ascii="Times New Roman" w:hAnsi="Times New Roman" w:cs="Times New Roman"/>
          <w:sz w:val="24"/>
          <w:szCs w:val="24"/>
        </w:rPr>
        <w:t xml:space="preserve"> (9th Cir. 2017) (“</w:t>
      </w:r>
      <w:r w:rsidR="00E5503A" w:rsidRPr="00E123BD">
        <w:rPr>
          <w:rFonts w:ascii="Times New Roman" w:hAnsi="Times New Roman" w:cs="Times New Roman"/>
          <w:i/>
          <w:sz w:val="24"/>
          <w:szCs w:val="24"/>
        </w:rPr>
        <w:t>Campie</w:t>
      </w:r>
      <w:r w:rsidR="00E5503A">
        <w:rPr>
          <w:rFonts w:ascii="Times New Roman" w:hAnsi="Times New Roman" w:cs="Times New Roman"/>
          <w:sz w:val="24"/>
          <w:szCs w:val="24"/>
        </w:rPr>
        <w:t xml:space="preserve">”) and </w:t>
      </w:r>
      <w:r w:rsidR="003B0969">
        <w:rPr>
          <w:rFonts w:ascii="Times New Roman" w:hAnsi="Times New Roman" w:cs="Times New Roman"/>
          <w:i/>
          <w:sz w:val="24"/>
          <w:szCs w:val="24"/>
        </w:rPr>
        <w:t xml:space="preserve">United States ex rel. Brown v. Celgene Corporation, </w:t>
      </w:r>
      <w:bookmarkStart w:id="1" w:name="_Hlk507763998"/>
      <w:r w:rsidR="003B0969" w:rsidRPr="001146E1">
        <w:rPr>
          <w:rFonts w:ascii="Times New Roman" w:hAnsi="Times New Roman" w:cs="Times New Roman"/>
          <w:sz w:val="24"/>
          <w:szCs w:val="24"/>
        </w:rPr>
        <w:t>226 F.Supp.3d 1032</w:t>
      </w:r>
      <w:r w:rsidR="003B0969">
        <w:rPr>
          <w:rFonts w:ascii="Times New Roman" w:hAnsi="Times New Roman" w:cs="Times New Roman"/>
          <w:sz w:val="24"/>
          <w:szCs w:val="24"/>
        </w:rPr>
        <w:t xml:space="preserve"> </w:t>
      </w:r>
      <w:bookmarkEnd w:id="1"/>
      <w:r w:rsidR="003B0969">
        <w:rPr>
          <w:rFonts w:ascii="Times New Roman" w:hAnsi="Times New Roman" w:cs="Times New Roman"/>
          <w:sz w:val="24"/>
          <w:szCs w:val="24"/>
        </w:rPr>
        <w:t>(C.D. Cal. Dec. 28, 2016) (“</w:t>
      </w:r>
      <w:r w:rsidR="003B0969" w:rsidRPr="00E123BD">
        <w:rPr>
          <w:rFonts w:ascii="Times New Roman" w:hAnsi="Times New Roman" w:cs="Times New Roman"/>
          <w:i/>
          <w:sz w:val="24"/>
          <w:szCs w:val="24"/>
        </w:rPr>
        <w:t>Brown</w:t>
      </w:r>
      <w:r w:rsidR="003B0969">
        <w:rPr>
          <w:rFonts w:ascii="Times New Roman" w:hAnsi="Times New Roman" w:cs="Times New Roman"/>
          <w:sz w:val="24"/>
          <w:szCs w:val="24"/>
        </w:rPr>
        <w:t>”)</w:t>
      </w:r>
      <w:r w:rsidR="00E5503A">
        <w:rPr>
          <w:rFonts w:ascii="Times New Roman" w:hAnsi="Times New Roman" w:cs="Times New Roman"/>
          <w:sz w:val="24"/>
          <w:szCs w:val="24"/>
        </w:rPr>
        <w:t>,</w:t>
      </w:r>
      <w:r w:rsidR="00C25458">
        <w:rPr>
          <w:rFonts w:ascii="Times New Roman" w:hAnsi="Times New Roman" w:cs="Times New Roman"/>
          <w:sz w:val="24"/>
          <w:szCs w:val="24"/>
        </w:rPr>
        <w:t xml:space="preserve"> </w:t>
      </w:r>
      <w:r w:rsidR="00B20DF9">
        <w:rPr>
          <w:rFonts w:ascii="Times New Roman" w:hAnsi="Times New Roman" w:cs="Times New Roman"/>
          <w:sz w:val="24"/>
          <w:szCs w:val="24"/>
        </w:rPr>
        <w:t xml:space="preserve">the plaintiffs were able to allege or present overwhelming evidence </w:t>
      </w:r>
      <w:r w:rsidR="00C25458">
        <w:rPr>
          <w:rFonts w:ascii="Times New Roman" w:hAnsi="Times New Roman" w:cs="Times New Roman"/>
          <w:sz w:val="24"/>
          <w:szCs w:val="24"/>
        </w:rPr>
        <w:t xml:space="preserve">that defendants were </w:t>
      </w:r>
      <w:r w:rsidR="00B20DF9">
        <w:rPr>
          <w:rFonts w:ascii="Times New Roman" w:hAnsi="Times New Roman" w:cs="Times New Roman"/>
          <w:sz w:val="24"/>
          <w:szCs w:val="24"/>
        </w:rPr>
        <w:t xml:space="preserve">systemically </w:t>
      </w:r>
      <w:r w:rsidR="00C25458">
        <w:rPr>
          <w:rFonts w:ascii="Times New Roman" w:hAnsi="Times New Roman" w:cs="Times New Roman"/>
          <w:sz w:val="24"/>
          <w:szCs w:val="24"/>
        </w:rPr>
        <w:t xml:space="preserve">marketing drugs in clear violation of FDA regulations. </w:t>
      </w:r>
      <w:r w:rsidR="00B20DF9">
        <w:rPr>
          <w:rFonts w:ascii="Times New Roman" w:hAnsi="Times New Roman" w:cs="Times New Roman"/>
          <w:sz w:val="24"/>
          <w:szCs w:val="24"/>
        </w:rPr>
        <w:t>This paper will address these four cases.</w:t>
      </w:r>
    </w:p>
    <w:p w:rsidR="006B6549" w:rsidRPr="00435FC5" w:rsidRDefault="006B6549" w:rsidP="008F6783">
      <w:pPr>
        <w:pStyle w:val="Heading1"/>
        <w:spacing w:line="480" w:lineRule="auto"/>
        <w:jc w:val="center"/>
        <w:rPr>
          <w:rFonts w:ascii="Times New Roman" w:hAnsi="Times New Roman" w:cs="Times New Roman"/>
          <w:b/>
          <w:i/>
          <w:color w:val="auto"/>
          <w:sz w:val="24"/>
          <w:szCs w:val="24"/>
          <w:u w:val="single"/>
        </w:rPr>
      </w:pPr>
      <w:r w:rsidRPr="00435FC5">
        <w:rPr>
          <w:rFonts w:ascii="Times New Roman" w:hAnsi="Times New Roman" w:cs="Times New Roman"/>
          <w:b/>
          <w:i/>
          <w:color w:val="auto"/>
          <w:sz w:val="24"/>
          <w:szCs w:val="24"/>
          <w:u w:val="single"/>
        </w:rPr>
        <w:t xml:space="preserve">King </w:t>
      </w:r>
    </w:p>
    <w:p w:rsidR="001A5764" w:rsidRDefault="00805BB7" w:rsidP="008F67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King, </w:t>
      </w:r>
      <w:r>
        <w:rPr>
          <w:rFonts w:ascii="Times New Roman" w:hAnsi="Times New Roman" w:cs="Times New Roman"/>
          <w:sz w:val="24"/>
          <w:szCs w:val="24"/>
        </w:rPr>
        <w:t xml:space="preserve">the Fifth Circuit upheld the district court’s grant for summary judgment to defendant Solvay Pharmaceuticals, Incorporated (“SPI”). </w:t>
      </w:r>
      <w:r w:rsidR="00B20DF9">
        <w:rPr>
          <w:rFonts w:ascii="Times New Roman" w:hAnsi="Times New Roman" w:cs="Times New Roman"/>
          <w:sz w:val="24"/>
          <w:szCs w:val="24"/>
        </w:rPr>
        <w:t xml:space="preserve">The relators, </w:t>
      </w:r>
      <w:r>
        <w:rPr>
          <w:rFonts w:ascii="Times New Roman" w:hAnsi="Times New Roman" w:cs="Times New Roman"/>
          <w:sz w:val="24"/>
          <w:szCs w:val="24"/>
        </w:rPr>
        <w:t>John King and Tammy Drummond</w:t>
      </w:r>
      <w:r w:rsidR="00B20DF9">
        <w:rPr>
          <w:rFonts w:ascii="Times New Roman" w:hAnsi="Times New Roman" w:cs="Times New Roman"/>
          <w:sz w:val="24"/>
          <w:szCs w:val="24"/>
        </w:rPr>
        <w:t>,</w:t>
      </w:r>
      <w:r w:rsidR="001A5764">
        <w:rPr>
          <w:rFonts w:ascii="Times New Roman" w:hAnsi="Times New Roman" w:cs="Times New Roman"/>
          <w:sz w:val="24"/>
          <w:szCs w:val="24"/>
        </w:rPr>
        <w:t xml:space="preserve"> </w:t>
      </w:r>
      <w:r w:rsidR="006B6549" w:rsidRPr="001146E1">
        <w:rPr>
          <w:rFonts w:ascii="Times New Roman" w:hAnsi="Times New Roman" w:cs="Times New Roman"/>
          <w:sz w:val="24"/>
          <w:szCs w:val="24"/>
        </w:rPr>
        <w:t xml:space="preserve">brought </w:t>
      </w:r>
      <w:r w:rsidR="00B20DF9">
        <w:rPr>
          <w:rFonts w:ascii="Times New Roman" w:hAnsi="Times New Roman" w:cs="Times New Roman"/>
          <w:sz w:val="24"/>
          <w:szCs w:val="24"/>
        </w:rPr>
        <w:t xml:space="preserve">a </w:t>
      </w:r>
      <w:r w:rsidR="006B6549" w:rsidRPr="001146E1">
        <w:rPr>
          <w:rFonts w:ascii="Times New Roman" w:hAnsi="Times New Roman" w:cs="Times New Roman"/>
          <w:sz w:val="24"/>
          <w:szCs w:val="24"/>
        </w:rPr>
        <w:t>False Claims Act</w:t>
      </w:r>
      <w:r>
        <w:rPr>
          <w:rFonts w:ascii="Times New Roman" w:hAnsi="Times New Roman" w:cs="Times New Roman"/>
          <w:sz w:val="24"/>
          <w:szCs w:val="24"/>
        </w:rPr>
        <w:t xml:space="preserve"> </w:t>
      </w:r>
      <w:r w:rsidR="006B6549" w:rsidRPr="001146E1">
        <w:rPr>
          <w:rFonts w:ascii="Times New Roman" w:hAnsi="Times New Roman" w:cs="Times New Roman"/>
          <w:sz w:val="24"/>
          <w:szCs w:val="24"/>
        </w:rPr>
        <w:t>action against pharmaceutical manufacturer</w:t>
      </w:r>
      <w:r>
        <w:rPr>
          <w:rFonts w:ascii="Times New Roman" w:hAnsi="Times New Roman" w:cs="Times New Roman"/>
          <w:sz w:val="24"/>
          <w:szCs w:val="24"/>
        </w:rPr>
        <w:t xml:space="preserve"> SPI</w:t>
      </w:r>
      <w:r w:rsidR="006B6549" w:rsidRPr="001146E1">
        <w:rPr>
          <w:rFonts w:ascii="Times New Roman" w:hAnsi="Times New Roman" w:cs="Times New Roman"/>
          <w:sz w:val="24"/>
          <w:szCs w:val="24"/>
        </w:rPr>
        <w:t xml:space="preserve">, alleging </w:t>
      </w:r>
      <w:r w:rsidR="00B20DF9">
        <w:rPr>
          <w:rFonts w:ascii="Times New Roman" w:hAnsi="Times New Roman" w:cs="Times New Roman"/>
          <w:sz w:val="24"/>
          <w:szCs w:val="24"/>
        </w:rPr>
        <w:t xml:space="preserve">that </w:t>
      </w:r>
      <w:r w:rsidR="006B6549" w:rsidRPr="001146E1">
        <w:rPr>
          <w:rFonts w:ascii="Times New Roman" w:hAnsi="Times New Roman" w:cs="Times New Roman"/>
          <w:sz w:val="24"/>
          <w:szCs w:val="24"/>
        </w:rPr>
        <w:t xml:space="preserve">it </w:t>
      </w:r>
      <w:r w:rsidR="00B20DF9">
        <w:rPr>
          <w:rFonts w:ascii="Times New Roman" w:hAnsi="Times New Roman" w:cs="Times New Roman"/>
          <w:sz w:val="24"/>
          <w:szCs w:val="24"/>
        </w:rPr>
        <w:t xml:space="preserve">caused the submission of </w:t>
      </w:r>
      <w:r w:rsidR="006B6549" w:rsidRPr="001146E1">
        <w:rPr>
          <w:rFonts w:ascii="Times New Roman" w:hAnsi="Times New Roman" w:cs="Times New Roman"/>
          <w:sz w:val="24"/>
          <w:szCs w:val="24"/>
        </w:rPr>
        <w:t>false Medicaid claims through a nationwide off-label marketing and kickback</w:t>
      </w:r>
      <w:r w:rsidR="00D41384" w:rsidRPr="001146E1">
        <w:rPr>
          <w:rFonts w:ascii="Times New Roman" w:hAnsi="Times New Roman" w:cs="Times New Roman"/>
          <w:sz w:val="24"/>
          <w:szCs w:val="24"/>
        </w:rPr>
        <w:t xml:space="preserve"> scheme to promote three drugs</w:t>
      </w:r>
      <w:r>
        <w:rPr>
          <w:rFonts w:ascii="Times New Roman" w:hAnsi="Times New Roman" w:cs="Times New Roman"/>
          <w:sz w:val="24"/>
          <w:szCs w:val="24"/>
        </w:rPr>
        <w:t xml:space="preserve">: Luvox, Aceon, and AndroGel. </w:t>
      </w:r>
      <w:r w:rsidR="003733CF">
        <w:rPr>
          <w:rFonts w:ascii="Times New Roman" w:hAnsi="Times New Roman" w:cs="Times New Roman"/>
          <w:sz w:val="24"/>
          <w:szCs w:val="24"/>
        </w:rPr>
        <w:t>Relators were former</w:t>
      </w:r>
      <w:r w:rsidR="007D206C">
        <w:rPr>
          <w:rFonts w:ascii="Times New Roman" w:hAnsi="Times New Roman" w:cs="Times New Roman"/>
          <w:sz w:val="24"/>
          <w:szCs w:val="24"/>
        </w:rPr>
        <w:t>ly employed by</w:t>
      </w:r>
      <w:r w:rsidR="003733CF">
        <w:rPr>
          <w:rFonts w:ascii="Times New Roman" w:hAnsi="Times New Roman" w:cs="Times New Roman"/>
          <w:sz w:val="24"/>
          <w:szCs w:val="24"/>
        </w:rPr>
        <w:t xml:space="preserve"> SPI </w:t>
      </w:r>
      <w:r w:rsidR="007D206C">
        <w:rPr>
          <w:rFonts w:ascii="Times New Roman" w:hAnsi="Times New Roman" w:cs="Times New Roman"/>
          <w:sz w:val="24"/>
          <w:szCs w:val="24"/>
        </w:rPr>
        <w:t xml:space="preserve">as District Sales Managers and had their employment terminated </w:t>
      </w:r>
      <w:r w:rsidR="0080642F">
        <w:rPr>
          <w:rFonts w:ascii="Times New Roman" w:hAnsi="Times New Roman" w:cs="Times New Roman"/>
          <w:sz w:val="24"/>
          <w:szCs w:val="24"/>
        </w:rPr>
        <w:t>for</w:t>
      </w:r>
      <w:r w:rsidR="007D206C">
        <w:rPr>
          <w:rFonts w:ascii="Times New Roman" w:hAnsi="Times New Roman" w:cs="Times New Roman"/>
          <w:sz w:val="24"/>
          <w:szCs w:val="24"/>
        </w:rPr>
        <w:t xml:space="preserve"> raising questions about SPI marketing practices in 2002, respectively. Relators initially filed </w:t>
      </w:r>
      <w:r w:rsidR="00B20DF9">
        <w:rPr>
          <w:rFonts w:ascii="Times New Roman" w:hAnsi="Times New Roman" w:cs="Times New Roman"/>
          <w:sz w:val="24"/>
          <w:szCs w:val="24"/>
        </w:rPr>
        <w:t xml:space="preserve">their </w:t>
      </w:r>
      <w:r w:rsidR="00B20DF9" w:rsidRPr="00FE3FA6">
        <w:rPr>
          <w:rFonts w:ascii="Times New Roman" w:hAnsi="Times New Roman" w:cs="Times New Roman"/>
          <w:i/>
          <w:sz w:val="24"/>
          <w:szCs w:val="24"/>
        </w:rPr>
        <w:t>qui tam</w:t>
      </w:r>
      <w:r w:rsidR="00B20DF9">
        <w:rPr>
          <w:rFonts w:ascii="Times New Roman" w:hAnsi="Times New Roman" w:cs="Times New Roman"/>
          <w:sz w:val="24"/>
          <w:szCs w:val="24"/>
        </w:rPr>
        <w:t xml:space="preserve"> lawsuit (under seal) i</w:t>
      </w:r>
      <w:r w:rsidR="007D206C">
        <w:rPr>
          <w:rFonts w:ascii="Times New Roman" w:hAnsi="Times New Roman" w:cs="Times New Roman"/>
          <w:sz w:val="24"/>
          <w:szCs w:val="24"/>
        </w:rPr>
        <w:t>n June 2003 on behalf of the United States</w:t>
      </w:r>
      <w:r w:rsidR="00FE3FA6">
        <w:rPr>
          <w:rFonts w:ascii="Times New Roman" w:hAnsi="Times New Roman" w:cs="Times New Roman"/>
          <w:sz w:val="24"/>
          <w:szCs w:val="24"/>
        </w:rPr>
        <w:t xml:space="preserve"> and various states</w:t>
      </w:r>
      <w:r w:rsidR="007D206C">
        <w:rPr>
          <w:rFonts w:ascii="Times New Roman" w:hAnsi="Times New Roman" w:cs="Times New Roman"/>
          <w:sz w:val="24"/>
          <w:szCs w:val="24"/>
        </w:rPr>
        <w:t xml:space="preserve">. </w:t>
      </w:r>
      <w:r w:rsidR="00B20DF9">
        <w:rPr>
          <w:rFonts w:ascii="Times New Roman" w:hAnsi="Times New Roman" w:cs="Times New Roman"/>
          <w:sz w:val="24"/>
          <w:szCs w:val="24"/>
        </w:rPr>
        <w:t>Relators</w:t>
      </w:r>
      <w:r w:rsidR="00FE3FA6">
        <w:rPr>
          <w:rFonts w:ascii="Times New Roman" w:hAnsi="Times New Roman" w:cs="Times New Roman"/>
          <w:sz w:val="24"/>
          <w:szCs w:val="24"/>
        </w:rPr>
        <w:t>’</w:t>
      </w:r>
      <w:r w:rsidR="00B20DF9">
        <w:rPr>
          <w:rFonts w:ascii="Times New Roman" w:hAnsi="Times New Roman" w:cs="Times New Roman"/>
          <w:sz w:val="24"/>
          <w:szCs w:val="24"/>
        </w:rPr>
        <w:t xml:space="preserve"> </w:t>
      </w:r>
      <w:r w:rsidR="0060136D">
        <w:rPr>
          <w:rFonts w:ascii="Times New Roman" w:hAnsi="Times New Roman" w:cs="Times New Roman"/>
          <w:sz w:val="24"/>
          <w:szCs w:val="24"/>
        </w:rPr>
        <w:t xml:space="preserve">second amended complaint was unsealed </w:t>
      </w:r>
      <w:r w:rsidR="00FE3FA6">
        <w:rPr>
          <w:rFonts w:ascii="Times New Roman" w:hAnsi="Times New Roman" w:cs="Times New Roman"/>
          <w:sz w:val="24"/>
          <w:szCs w:val="24"/>
        </w:rPr>
        <w:t>in</w:t>
      </w:r>
      <w:r w:rsidR="00681E99">
        <w:rPr>
          <w:rFonts w:ascii="Times New Roman" w:hAnsi="Times New Roman" w:cs="Times New Roman"/>
          <w:sz w:val="24"/>
          <w:szCs w:val="24"/>
        </w:rPr>
        <w:t xml:space="preserve"> </w:t>
      </w:r>
      <w:r w:rsidR="0060136D">
        <w:rPr>
          <w:rFonts w:ascii="Times New Roman" w:hAnsi="Times New Roman" w:cs="Times New Roman"/>
          <w:sz w:val="24"/>
          <w:szCs w:val="24"/>
        </w:rPr>
        <w:t>December 2009</w:t>
      </w:r>
      <w:r w:rsidR="00FE3FA6">
        <w:rPr>
          <w:rFonts w:ascii="Times New Roman" w:hAnsi="Times New Roman" w:cs="Times New Roman"/>
          <w:sz w:val="24"/>
          <w:szCs w:val="24"/>
        </w:rPr>
        <w:t>.  Ultimately, relators sought to amend their complaint five times.</w:t>
      </w:r>
    </w:p>
    <w:p w:rsidR="0060136D" w:rsidRDefault="0060136D" w:rsidP="00805BB7">
      <w:pPr>
        <w:spacing w:line="480" w:lineRule="auto"/>
        <w:rPr>
          <w:rFonts w:ascii="Times New Roman" w:hAnsi="Times New Roman" w:cs="Times New Roman"/>
          <w:sz w:val="24"/>
          <w:szCs w:val="24"/>
        </w:rPr>
      </w:pPr>
      <w:r>
        <w:rPr>
          <w:rFonts w:ascii="Times New Roman" w:hAnsi="Times New Roman" w:cs="Times New Roman"/>
          <w:sz w:val="24"/>
          <w:szCs w:val="24"/>
        </w:rPr>
        <w:tab/>
        <w:t>Relators allege</w:t>
      </w:r>
      <w:r w:rsidR="00FE3FA6">
        <w:rPr>
          <w:rFonts w:ascii="Times New Roman" w:hAnsi="Times New Roman" w:cs="Times New Roman"/>
          <w:sz w:val="24"/>
          <w:szCs w:val="24"/>
        </w:rPr>
        <w:t>d</w:t>
      </w:r>
      <w:r>
        <w:rPr>
          <w:rFonts w:ascii="Times New Roman" w:hAnsi="Times New Roman" w:cs="Times New Roman"/>
          <w:sz w:val="24"/>
          <w:szCs w:val="24"/>
        </w:rPr>
        <w:t xml:space="preserve"> </w:t>
      </w:r>
      <w:r w:rsidR="006B0741">
        <w:rPr>
          <w:rFonts w:ascii="Times New Roman" w:hAnsi="Times New Roman" w:cs="Times New Roman"/>
          <w:sz w:val="24"/>
          <w:szCs w:val="24"/>
        </w:rPr>
        <w:t xml:space="preserve">several FCA violations against SPI linking their off-label marketing </w:t>
      </w:r>
      <w:r w:rsidR="00FE3FA6">
        <w:rPr>
          <w:rFonts w:ascii="Times New Roman" w:hAnsi="Times New Roman" w:cs="Times New Roman"/>
          <w:sz w:val="24"/>
          <w:szCs w:val="24"/>
        </w:rPr>
        <w:t xml:space="preserve">of the drugs </w:t>
      </w:r>
      <w:r w:rsidR="006B0741">
        <w:rPr>
          <w:rFonts w:ascii="Times New Roman" w:hAnsi="Times New Roman" w:cs="Times New Roman"/>
          <w:sz w:val="24"/>
          <w:szCs w:val="24"/>
        </w:rPr>
        <w:t>and the actual filing of false claims</w:t>
      </w:r>
      <w:r w:rsidR="00FE3FA6">
        <w:rPr>
          <w:rFonts w:ascii="Times New Roman" w:hAnsi="Times New Roman" w:cs="Times New Roman"/>
          <w:sz w:val="24"/>
          <w:szCs w:val="24"/>
        </w:rPr>
        <w:t>.  Relators alleged that</w:t>
      </w:r>
      <w:r w:rsidR="006B0741">
        <w:rPr>
          <w:rFonts w:ascii="Times New Roman" w:hAnsi="Times New Roman" w:cs="Times New Roman"/>
          <w:sz w:val="24"/>
          <w:szCs w:val="24"/>
        </w:rPr>
        <w:t xml:space="preserve"> (1) </w:t>
      </w:r>
      <w:r w:rsidR="00FE3FA6">
        <w:rPr>
          <w:rFonts w:ascii="Times New Roman" w:hAnsi="Times New Roman" w:cs="Times New Roman"/>
          <w:sz w:val="24"/>
          <w:szCs w:val="24"/>
        </w:rPr>
        <w:t xml:space="preserve">SPI’s </w:t>
      </w:r>
      <w:r w:rsidR="006B0741">
        <w:rPr>
          <w:rFonts w:ascii="Times New Roman" w:hAnsi="Times New Roman" w:cs="Times New Roman"/>
          <w:sz w:val="24"/>
          <w:szCs w:val="24"/>
        </w:rPr>
        <w:t xml:space="preserve">marketing of the </w:t>
      </w:r>
      <w:r w:rsidR="00FE3FA6">
        <w:rPr>
          <w:rFonts w:ascii="Times New Roman" w:hAnsi="Times New Roman" w:cs="Times New Roman"/>
          <w:sz w:val="24"/>
          <w:szCs w:val="24"/>
        </w:rPr>
        <w:t>d</w:t>
      </w:r>
      <w:r w:rsidR="006B0741">
        <w:rPr>
          <w:rFonts w:ascii="Times New Roman" w:hAnsi="Times New Roman" w:cs="Times New Roman"/>
          <w:sz w:val="24"/>
          <w:szCs w:val="24"/>
        </w:rPr>
        <w:t xml:space="preserve">rugs caused physicians to prescribe them to Medicaid patients for </w:t>
      </w:r>
      <w:r w:rsidR="00FE3FA6">
        <w:rPr>
          <w:rFonts w:ascii="Times New Roman" w:hAnsi="Times New Roman" w:cs="Times New Roman"/>
          <w:sz w:val="24"/>
          <w:szCs w:val="24"/>
        </w:rPr>
        <w:t>off-label</w:t>
      </w:r>
      <w:r w:rsidR="006B0741">
        <w:rPr>
          <w:rFonts w:ascii="Times New Roman" w:hAnsi="Times New Roman" w:cs="Times New Roman"/>
          <w:sz w:val="24"/>
          <w:szCs w:val="24"/>
        </w:rPr>
        <w:t xml:space="preserve"> uses</w:t>
      </w:r>
      <w:r w:rsidR="00FE3FA6">
        <w:rPr>
          <w:rFonts w:ascii="Times New Roman" w:hAnsi="Times New Roman" w:cs="Times New Roman"/>
          <w:sz w:val="24"/>
          <w:szCs w:val="24"/>
        </w:rPr>
        <w:t>,</w:t>
      </w:r>
      <w:r w:rsidR="006B0741">
        <w:rPr>
          <w:rFonts w:ascii="Times New Roman" w:hAnsi="Times New Roman" w:cs="Times New Roman"/>
          <w:sz w:val="24"/>
          <w:szCs w:val="24"/>
        </w:rPr>
        <w:t xml:space="preserve"> (2) SPI lobbied members of state pharmaceutical and therapeutic committees to </w:t>
      </w:r>
      <w:r w:rsidR="00FE3FA6">
        <w:rPr>
          <w:rFonts w:ascii="Times New Roman" w:hAnsi="Times New Roman" w:cs="Times New Roman"/>
          <w:sz w:val="24"/>
          <w:szCs w:val="24"/>
        </w:rPr>
        <w:t xml:space="preserve">include </w:t>
      </w:r>
      <w:r w:rsidR="006B0741">
        <w:rPr>
          <w:rFonts w:ascii="Times New Roman" w:hAnsi="Times New Roman" w:cs="Times New Roman"/>
          <w:sz w:val="24"/>
          <w:szCs w:val="24"/>
        </w:rPr>
        <w:t xml:space="preserve">the </w:t>
      </w:r>
      <w:r w:rsidR="00FE3FA6">
        <w:rPr>
          <w:rFonts w:ascii="Times New Roman" w:hAnsi="Times New Roman" w:cs="Times New Roman"/>
          <w:sz w:val="24"/>
          <w:szCs w:val="24"/>
        </w:rPr>
        <w:t>d</w:t>
      </w:r>
      <w:r w:rsidR="006B0741">
        <w:rPr>
          <w:rFonts w:ascii="Times New Roman" w:hAnsi="Times New Roman" w:cs="Times New Roman"/>
          <w:sz w:val="24"/>
          <w:szCs w:val="24"/>
        </w:rPr>
        <w:t>rugs on their preferred drug lists</w:t>
      </w:r>
      <w:r w:rsidR="00FE3FA6">
        <w:rPr>
          <w:rFonts w:ascii="Times New Roman" w:hAnsi="Times New Roman" w:cs="Times New Roman"/>
          <w:sz w:val="24"/>
          <w:szCs w:val="24"/>
        </w:rPr>
        <w:t xml:space="preserve">, </w:t>
      </w:r>
      <w:r w:rsidR="006B0741">
        <w:rPr>
          <w:rFonts w:ascii="Times New Roman" w:hAnsi="Times New Roman" w:cs="Times New Roman"/>
          <w:sz w:val="24"/>
          <w:szCs w:val="24"/>
        </w:rPr>
        <w:t xml:space="preserve">(3) </w:t>
      </w:r>
      <w:r w:rsidR="00FE3FA6">
        <w:rPr>
          <w:rFonts w:ascii="Times New Roman" w:hAnsi="Times New Roman" w:cs="Times New Roman"/>
          <w:sz w:val="24"/>
          <w:szCs w:val="24"/>
        </w:rPr>
        <w:t xml:space="preserve">SPI </w:t>
      </w:r>
      <w:r w:rsidR="006B0741">
        <w:rPr>
          <w:rFonts w:ascii="Times New Roman" w:hAnsi="Times New Roman" w:cs="Times New Roman"/>
          <w:sz w:val="24"/>
          <w:szCs w:val="24"/>
        </w:rPr>
        <w:t>used misleading information to lobby the publisher of drug compendium DRUGDEX Information System (“DrugDex”)</w:t>
      </w:r>
      <w:r w:rsidR="00FE3FA6">
        <w:rPr>
          <w:rFonts w:ascii="Times New Roman" w:hAnsi="Times New Roman" w:cs="Times New Roman"/>
          <w:sz w:val="24"/>
          <w:szCs w:val="24"/>
        </w:rPr>
        <w:t>,</w:t>
      </w:r>
      <w:r w:rsidR="006B0741">
        <w:rPr>
          <w:rFonts w:ascii="Times New Roman" w:hAnsi="Times New Roman" w:cs="Times New Roman"/>
          <w:sz w:val="24"/>
          <w:szCs w:val="24"/>
        </w:rPr>
        <w:t xml:space="preserve"> and (4) SPI paid physicians </w:t>
      </w:r>
      <w:r w:rsidR="006B0741">
        <w:rPr>
          <w:rFonts w:ascii="Times New Roman" w:hAnsi="Times New Roman" w:cs="Times New Roman"/>
          <w:sz w:val="24"/>
          <w:szCs w:val="24"/>
        </w:rPr>
        <w:lastRenderedPageBreak/>
        <w:t>kickbacks to prescribe these drugs to Medicaid patients. Relators also brought an FCA retaliation claim challenging their terminations.</w:t>
      </w:r>
    </w:p>
    <w:p w:rsidR="00FF19A6" w:rsidRDefault="00924EC4" w:rsidP="00FF19A6">
      <w:pPr>
        <w:spacing w:line="480" w:lineRule="auto"/>
        <w:rPr>
          <w:rFonts w:ascii="Times New Roman" w:hAnsi="Times New Roman" w:cs="Times New Roman"/>
          <w:sz w:val="24"/>
          <w:szCs w:val="24"/>
        </w:rPr>
      </w:pPr>
      <w:r>
        <w:rPr>
          <w:rFonts w:ascii="Times New Roman" w:hAnsi="Times New Roman" w:cs="Times New Roman"/>
          <w:sz w:val="24"/>
          <w:szCs w:val="24"/>
        </w:rPr>
        <w:tab/>
        <w:t>Relators contend</w:t>
      </w:r>
      <w:r w:rsidR="00FE3FA6">
        <w:rPr>
          <w:rFonts w:ascii="Times New Roman" w:hAnsi="Times New Roman" w:cs="Times New Roman"/>
          <w:sz w:val="24"/>
          <w:szCs w:val="24"/>
        </w:rPr>
        <w:t>ed</w:t>
      </w:r>
      <w:r>
        <w:rPr>
          <w:rFonts w:ascii="Times New Roman" w:hAnsi="Times New Roman" w:cs="Times New Roman"/>
          <w:sz w:val="24"/>
          <w:szCs w:val="24"/>
        </w:rPr>
        <w:t xml:space="preserve"> that SPI marketed Luvox</w:t>
      </w:r>
      <w:r w:rsidR="00FE3FA6">
        <w:rPr>
          <w:rFonts w:ascii="Times New Roman" w:hAnsi="Times New Roman" w:cs="Times New Roman"/>
          <w:sz w:val="24"/>
          <w:szCs w:val="24"/>
        </w:rPr>
        <w:t>, a selective serotonin reuptake inhibitor (SSRI),</w:t>
      </w:r>
      <w:r>
        <w:rPr>
          <w:rFonts w:ascii="Times New Roman" w:hAnsi="Times New Roman" w:cs="Times New Roman"/>
          <w:sz w:val="24"/>
          <w:szCs w:val="24"/>
        </w:rPr>
        <w:t xml:space="preserve"> for use in treating depression, anxiety-related disorders, and other conditions on what SPI called the “OC Spectrum</w:t>
      </w:r>
      <w:r w:rsidR="00A2419D">
        <w:rPr>
          <w:rFonts w:ascii="Times New Roman" w:hAnsi="Times New Roman" w:cs="Times New Roman"/>
          <w:sz w:val="24"/>
          <w:szCs w:val="24"/>
        </w:rPr>
        <w:t>,</w:t>
      </w:r>
      <w:r>
        <w:rPr>
          <w:rFonts w:ascii="Times New Roman" w:hAnsi="Times New Roman" w:cs="Times New Roman"/>
          <w:sz w:val="24"/>
          <w:szCs w:val="24"/>
        </w:rPr>
        <w:t>”</w:t>
      </w:r>
      <w:r w:rsidR="00A2419D">
        <w:rPr>
          <w:rFonts w:ascii="Times New Roman" w:hAnsi="Times New Roman" w:cs="Times New Roman"/>
          <w:sz w:val="24"/>
          <w:szCs w:val="24"/>
        </w:rPr>
        <w:t xml:space="preserve"> even though Luvox was not specifically approved for these conditions. </w:t>
      </w:r>
      <w:r w:rsidR="004D6CAD">
        <w:rPr>
          <w:rFonts w:ascii="Times New Roman" w:hAnsi="Times New Roman" w:cs="Times New Roman"/>
          <w:sz w:val="24"/>
          <w:szCs w:val="24"/>
        </w:rPr>
        <w:t xml:space="preserve">Relators pointed to specific physicians in Texas who prescribed Luvox for off-label uses after sales representatives “pitched” these uses during sales calls. </w:t>
      </w:r>
      <w:r w:rsidR="00594C9C" w:rsidRPr="00594C9C">
        <w:rPr>
          <w:rFonts w:ascii="Times New Roman" w:hAnsi="Times New Roman" w:cs="Times New Roman"/>
          <w:i/>
          <w:sz w:val="24"/>
          <w:szCs w:val="24"/>
        </w:rPr>
        <w:t xml:space="preserve">United States ex rel. </w:t>
      </w:r>
      <w:r w:rsidR="004D6CAD" w:rsidRPr="00594C9C">
        <w:rPr>
          <w:rFonts w:ascii="Times New Roman" w:hAnsi="Times New Roman" w:cs="Times New Roman"/>
          <w:i/>
          <w:sz w:val="24"/>
          <w:szCs w:val="24"/>
        </w:rPr>
        <w:t>King</w:t>
      </w:r>
      <w:r w:rsidR="00594C9C" w:rsidRPr="00594C9C">
        <w:rPr>
          <w:rFonts w:ascii="Times New Roman" w:hAnsi="Times New Roman" w:cs="Times New Roman"/>
          <w:i/>
          <w:sz w:val="24"/>
          <w:szCs w:val="24"/>
        </w:rPr>
        <w:t>, et</w:t>
      </w:r>
      <w:r w:rsidR="00594C9C">
        <w:rPr>
          <w:rFonts w:ascii="Times New Roman" w:hAnsi="Times New Roman" w:cs="Times New Roman"/>
          <w:i/>
          <w:sz w:val="24"/>
          <w:szCs w:val="24"/>
        </w:rPr>
        <w:t xml:space="preserve"> al., v. Solvay, et al., </w:t>
      </w:r>
      <w:r w:rsidR="004D6CAD">
        <w:rPr>
          <w:rFonts w:ascii="Times New Roman" w:hAnsi="Times New Roman" w:cs="Times New Roman"/>
          <w:i/>
          <w:sz w:val="24"/>
          <w:szCs w:val="24"/>
        </w:rPr>
        <w:t xml:space="preserve">, </w:t>
      </w:r>
      <w:r w:rsidR="004D6CAD" w:rsidRPr="004D6CAD">
        <w:rPr>
          <w:rFonts w:ascii="Times New Roman" w:hAnsi="Times New Roman" w:cs="Times New Roman"/>
          <w:sz w:val="24"/>
          <w:szCs w:val="24"/>
        </w:rPr>
        <w:t>823 F.Supp.2d 472</w:t>
      </w:r>
      <w:r w:rsidR="00FE3FA6">
        <w:rPr>
          <w:rFonts w:ascii="Times New Roman" w:hAnsi="Times New Roman" w:cs="Times New Roman"/>
          <w:sz w:val="24"/>
          <w:szCs w:val="24"/>
        </w:rPr>
        <w:t xml:space="preserve">, </w:t>
      </w:r>
      <w:r w:rsidR="004D6CAD">
        <w:rPr>
          <w:rFonts w:ascii="Times New Roman" w:hAnsi="Times New Roman" w:cs="Times New Roman"/>
          <w:sz w:val="24"/>
          <w:szCs w:val="24"/>
        </w:rPr>
        <w:t>483</w:t>
      </w:r>
      <w:r w:rsidR="001735BF">
        <w:rPr>
          <w:rFonts w:ascii="Times New Roman" w:hAnsi="Times New Roman" w:cs="Times New Roman"/>
          <w:sz w:val="24"/>
          <w:szCs w:val="24"/>
        </w:rPr>
        <w:t xml:space="preserve"> (S.D. Texas 2011)</w:t>
      </w:r>
      <w:r w:rsidR="004D6CAD">
        <w:rPr>
          <w:rFonts w:ascii="Times New Roman" w:hAnsi="Times New Roman" w:cs="Times New Roman"/>
          <w:sz w:val="24"/>
          <w:szCs w:val="24"/>
        </w:rPr>
        <w:t xml:space="preserve">. </w:t>
      </w:r>
      <w:r w:rsidR="004E2605">
        <w:rPr>
          <w:rFonts w:ascii="Times New Roman" w:hAnsi="Times New Roman" w:cs="Times New Roman"/>
          <w:sz w:val="24"/>
          <w:szCs w:val="24"/>
        </w:rPr>
        <w:t xml:space="preserve">Relators contended that Solvay also engaged in off-label marketing of Aceon, a medication that was approved for the treatment of high blood pressure, by pitching that medication in marketing talks to physicians, encouraging the physicians to prescribe the drug for patients with diabetes or cerebrovascular disease.  Finally, relators alleged that Solvay marketed its product AndroGel, which was approved to treat testosterone deficiencies, to Texas physicians for the treatment of various other conditions.  </w:t>
      </w:r>
      <w:r w:rsidR="00594C9C" w:rsidRPr="00594C9C">
        <w:rPr>
          <w:rFonts w:ascii="Times New Roman" w:hAnsi="Times New Roman" w:cs="Times New Roman"/>
          <w:i/>
          <w:sz w:val="24"/>
          <w:szCs w:val="24"/>
        </w:rPr>
        <w:t>Id</w:t>
      </w:r>
      <w:r w:rsidR="00594C9C">
        <w:rPr>
          <w:rFonts w:ascii="Times New Roman" w:hAnsi="Times New Roman" w:cs="Times New Roman"/>
          <w:sz w:val="24"/>
          <w:szCs w:val="24"/>
        </w:rPr>
        <w:t>. at 483-84.</w:t>
      </w:r>
      <w:r w:rsidR="004E2605">
        <w:rPr>
          <w:rFonts w:ascii="Times New Roman" w:hAnsi="Times New Roman" w:cs="Times New Roman"/>
          <w:sz w:val="24"/>
          <w:szCs w:val="24"/>
        </w:rPr>
        <w:tab/>
      </w:r>
      <w:r w:rsidR="00FF19A6" w:rsidRPr="00FF19A6">
        <w:rPr>
          <w:rFonts w:ascii="Times New Roman" w:hAnsi="Times New Roman" w:cs="Times New Roman"/>
          <w:sz w:val="24"/>
          <w:szCs w:val="24"/>
        </w:rPr>
        <w:t>Relators contend</w:t>
      </w:r>
      <w:r w:rsidR="004E2605">
        <w:rPr>
          <w:rFonts w:ascii="Times New Roman" w:hAnsi="Times New Roman" w:cs="Times New Roman"/>
          <w:sz w:val="24"/>
          <w:szCs w:val="24"/>
        </w:rPr>
        <w:t>ed</w:t>
      </w:r>
      <w:r w:rsidR="00FF19A6" w:rsidRPr="00FF19A6">
        <w:rPr>
          <w:rFonts w:ascii="Times New Roman" w:hAnsi="Times New Roman" w:cs="Times New Roman"/>
          <w:sz w:val="24"/>
          <w:szCs w:val="24"/>
        </w:rPr>
        <w:t xml:space="preserve"> that the off-label promotion of Luvox, </w:t>
      </w:r>
      <w:r w:rsidR="00FF19A6">
        <w:rPr>
          <w:rFonts w:ascii="Times New Roman" w:hAnsi="Times New Roman" w:cs="Times New Roman"/>
          <w:sz w:val="24"/>
          <w:szCs w:val="24"/>
        </w:rPr>
        <w:t>Aceon, and AndroGel resulted in</w:t>
      </w:r>
      <w:r w:rsidR="00FF19A6" w:rsidRPr="00FF19A6">
        <w:rPr>
          <w:rFonts w:ascii="Times New Roman" w:hAnsi="Times New Roman" w:cs="Times New Roman"/>
          <w:sz w:val="24"/>
          <w:szCs w:val="24"/>
        </w:rPr>
        <w:t xml:space="preserve"> </w:t>
      </w:r>
      <w:r w:rsidR="004E2605">
        <w:rPr>
          <w:rFonts w:ascii="Times New Roman" w:hAnsi="Times New Roman" w:cs="Times New Roman"/>
          <w:sz w:val="24"/>
          <w:szCs w:val="24"/>
        </w:rPr>
        <w:t xml:space="preserve">the submission of </w:t>
      </w:r>
      <w:r w:rsidR="00FF19A6" w:rsidRPr="00FF19A6">
        <w:rPr>
          <w:rFonts w:ascii="Times New Roman" w:hAnsi="Times New Roman" w:cs="Times New Roman"/>
          <w:sz w:val="24"/>
          <w:szCs w:val="24"/>
        </w:rPr>
        <w:t>false claims to government health care plans, including Medicare, Medicaid,</w:t>
      </w:r>
      <w:r w:rsidR="004E2605">
        <w:rPr>
          <w:rFonts w:ascii="Times New Roman" w:hAnsi="Times New Roman" w:cs="Times New Roman"/>
          <w:sz w:val="24"/>
          <w:szCs w:val="24"/>
        </w:rPr>
        <w:t xml:space="preserve"> and</w:t>
      </w:r>
      <w:r w:rsidR="00FF19A6" w:rsidRPr="00FF19A6">
        <w:rPr>
          <w:rFonts w:ascii="Times New Roman" w:hAnsi="Times New Roman" w:cs="Times New Roman"/>
          <w:sz w:val="24"/>
          <w:szCs w:val="24"/>
        </w:rPr>
        <w:t xml:space="preserve"> TRICARE</w:t>
      </w:r>
      <w:r w:rsidR="00FF19A6">
        <w:rPr>
          <w:rFonts w:ascii="Times New Roman" w:hAnsi="Times New Roman" w:cs="Times New Roman"/>
          <w:sz w:val="24"/>
          <w:szCs w:val="24"/>
        </w:rPr>
        <w:t>.</w:t>
      </w:r>
      <w:r w:rsidR="00FF19A6" w:rsidRPr="00FF19A6">
        <w:rPr>
          <w:rFonts w:ascii="Times New Roman" w:hAnsi="Times New Roman" w:cs="Times New Roman"/>
          <w:sz w:val="24"/>
          <w:szCs w:val="24"/>
        </w:rPr>
        <w:t xml:space="preserve"> Relators </w:t>
      </w:r>
      <w:r w:rsidR="004E2605">
        <w:rPr>
          <w:rFonts w:ascii="Times New Roman" w:hAnsi="Times New Roman" w:cs="Times New Roman"/>
          <w:sz w:val="24"/>
          <w:szCs w:val="24"/>
        </w:rPr>
        <w:t xml:space="preserve">also </w:t>
      </w:r>
      <w:r w:rsidR="00FF19A6" w:rsidRPr="00FF19A6">
        <w:rPr>
          <w:rFonts w:ascii="Times New Roman" w:hAnsi="Times New Roman" w:cs="Times New Roman"/>
          <w:sz w:val="24"/>
          <w:szCs w:val="24"/>
        </w:rPr>
        <w:t>assert</w:t>
      </w:r>
      <w:r w:rsidR="004E2605">
        <w:rPr>
          <w:rFonts w:ascii="Times New Roman" w:hAnsi="Times New Roman" w:cs="Times New Roman"/>
          <w:sz w:val="24"/>
          <w:szCs w:val="24"/>
        </w:rPr>
        <w:t>ed</w:t>
      </w:r>
      <w:r w:rsidR="00FF19A6" w:rsidRPr="00FF19A6">
        <w:rPr>
          <w:rFonts w:ascii="Times New Roman" w:hAnsi="Times New Roman" w:cs="Times New Roman"/>
          <w:sz w:val="24"/>
          <w:szCs w:val="24"/>
        </w:rPr>
        <w:t xml:space="preserve"> that Solvay's drugs were added to Medicare and Medicaid formularies after listings in DRUGDEX Information System</w:t>
      </w:r>
      <w:r w:rsidR="00FF19A6">
        <w:rPr>
          <w:rFonts w:ascii="Times New Roman" w:hAnsi="Times New Roman" w:cs="Times New Roman"/>
          <w:sz w:val="24"/>
          <w:szCs w:val="24"/>
        </w:rPr>
        <w:t xml:space="preserve"> supported the off-label uses, even though </w:t>
      </w:r>
      <w:r w:rsidR="00FF19A6" w:rsidRPr="00FF19A6">
        <w:rPr>
          <w:rFonts w:ascii="Times New Roman" w:hAnsi="Times New Roman" w:cs="Times New Roman"/>
          <w:sz w:val="24"/>
          <w:szCs w:val="24"/>
        </w:rPr>
        <w:t>FDA specifically denied approval for some of the</w:t>
      </w:r>
      <w:r w:rsidR="00FF19A6">
        <w:rPr>
          <w:rFonts w:ascii="Times New Roman" w:hAnsi="Times New Roman" w:cs="Times New Roman"/>
          <w:sz w:val="24"/>
          <w:szCs w:val="24"/>
        </w:rPr>
        <w:t xml:space="preserve"> off-label uses listed, and </w:t>
      </w:r>
      <w:r w:rsidR="00FF19A6" w:rsidRPr="00FF19A6">
        <w:rPr>
          <w:rFonts w:ascii="Times New Roman" w:hAnsi="Times New Roman" w:cs="Times New Roman"/>
          <w:sz w:val="24"/>
          <w:szCs w:val="24"/>
        </w:rPr>
        <w:t xml:space="preserve">many of the sources cited in DRUGDEX in support of the off-label uses </w:t>
      </w:r>
      <w:r w:rsidR="00FF19A6">
        <w:rPr>
          <w:rFonts w:ascii="Times New Roman" w:hAnsi="Times New Roman" w:cs="Times New Roman"/>
          <w:sz w:val="24"/>
          <w:szCs w:val="24"/>
        </w:rPr>
        <w:t>were questionable.</w:t>
      </w:r>
      <w:r w:rsidR="00FF19A6" w:rsidRPr="00FF19A6">
        <w:rPr>
          <w:rFonts w:ascii="Times New Roman" w:hAnsi="Times New Roman" w:cs="Times New Roman"/>
          <w:sz w:val="24"/>
          <w:szCs w:val="24"/>
        </w:rPr>
        <w:t xml:space="preserve"> Relators claim that DRUGDEX listed the uses because </w:t>
      </w:r>
      <w:r w:rsidR="004E2605">
        <w:rPr>
          <w:rFonts w:ascii="Times New Roman" w:hAnsi="Times New Roman" w:cs="Times New Roman"/>
          <w:sz w:val="24"/>
          <w:szCs w:val="24"/>
        </w:rPr>
        <w:t>of false or misleading statements by</w:t>
      </w:r>
      <w:r w:rsidR="00FF19A6" w:rsidRPr="00FF19A6">
        <w:rPr>
          <w:rFonts w:ascii="Times New Roman" w:hAnsi="Times New Roman" w:cs="Times New Roman"/>
          <w:sz w:val="24"/>
          <w:szCs w:val="24"/>
        </w:rPr>
        <w:t xml:space="preserve"> Solvay. </w:t>
      </w:r>
      <w:r w:rsidR="00594C9C">
        <w:rPr>
          <w:rFonts w:ascii="Times New Roman" w:hAnsi="Times New Roman" w:cs="Times New Roman"/>
          <w:sz w:val="24"/>
          <w:szCs w:val="24"/>
        </w:rPr>
        <w:t xml:space="preserve"> </w:t>
      </w:r>
      <w:r w:rsidR="00594C9C" w:rsidRPr="00594C9C">
        <w:rPr>
          <w:rFonts w:ascii="Times New Roman" w:hAnsi="Times New Roman" w:cs="Times New Roman"/>
          <w:i/>
          <w:sz w:val="24"/>
          <w:szCs w:val="24"/>
        </w:rPr>
        <w:t>Id</w:t>
      </w:r>
      <w:r w:rsidR="00594C9C">
        <w:rPr>
          <w:rFonts w:ascii="Times New Roman" w:hAnsi="Times New Roman" w:cs="Times New Roman"/>
          <w:sz w:val="24"/>
          <w:szCs w:val="24"/>
        </w:rPr>
        <w:t>. at 484.</w:t>
      </w:r>
    </w:p>
    <w:p w:rsidR="00594C9C" w:rsidRDefault="000C6B77" w:rsidP="00924E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district court for the Southern District of Texas disposed of all of the Relators’ claims through a series of partial summary judgment orders, </w:t>
      </w:r>
      <w:r w:rsidR="00594C9C">
        <w:rPr>
          <w:rFonts w:ascii="Times New Roman" w:hAnsi="Times New Roman" w:cs="Times New Roman"/>
          <w:sz w:val="24"/>
          <w:szCs w:val="24"/>
        </w:rPr>
        <w:t>holding that the court lacked</w:t>
      </w:r>
      <w:r>
        <w:rPr>
          <w:rFonts w:ascii="Times New Roman" w:hAnsi="Times New Roman" w:cs="Times New Roman"/>
          <w:sz w:val="24"/>
          <w:szCs w:val="24"/>
        </w:rPr>
        <w:t xml:space="preserve"> jurisdiction </w:t>
      </w:r>
      <w:r w:rsidR="00594C9C">
        <w:rPr>
          <w:rFonts w:ascii="Times New Roman" w:hAnsi="Times New Roman" w:cs="Times New Roman"/>
          <w:sz w:val="24"/>
          <w:szCs w:val="24"/>
        </w:rPr>
        <w:t xml:space="preserve">over certain claims </w:t>
      </w:r>
      <w:r>
        <w:rPr>
          <w:rFonts w:ascii="Times New Roman" w:hAnsi="Times New Roman" w:cs="Times New Roman"/>
          <w:sz w:val="24"/>
          <w:szCs w:val="24"/>
        </w:rPr>
        <w:t xml:space="preserve">under the FCA’s public disclosure bar, </w:t>
      </w:r>
      <w:r w:rsidR="00594C9C">
        <w:rPr>
          <w:rFonts w:ascii="Times New Roman" w:hAnsi="Times New Roman" w:cs="Times New Roman"/>
          <w:sz w:val="24"/>
          <w:szCs w:val="24"/>
        </w:rPr>
        <w:t xml:space="preserve">rejecting some of Relator’s evidence as </w:t>
      </w:r>
      <w:r w:rsidR="003A39C1">
        <w:rPr>
          <w:rFonts w:ascii="Times New Roman" w:hAnsi="Times New Roman" w:cs="Times New Roman"/>
          <w:sz w:val="24"/>
          <w:szCs w:val="24"/>
        </w:rPr>
        <w:t>inadmissible, an</w:t>
      </w:r>
      <w:r w:rsidR="00924EC4">
        <w:rPr>
          <w:rFonts w:ascii="Times New Roman" w:hAnsi="Times New Roman" w:cs="Times New Roman"/>
          <w:sz w:val="24"/>
          <w:szCs w:val="24"/>
        </w:rPr>
        <w:t>d</w:t>
      </w:r>
      <w:r w:rsidR="00594C9C">
        <w:rPr>
          <w:rFonts w:ascii="Times New Roman" w:hAnsi="Times New Roman" w:cs="Times New Roman"/>
          <w:sz w:val="24"/>
          <w:szCs w:val="24"/>
        </w:rPr>
        <w:t xml:space="preserve"> rejecting other claims on the grounds that the Relators had failed to introduce sufficient evidence</w:t>
      </w:r>
      <w:r w:rsidR="00924EC4">
        <w:rPr>
          <w:rFonts w:ascii="Times New Roman" w:hAnsi="Times New Roman" w:cs="Times New Roman"/>
          <w:sz w:val="24"/>
          <w:szCs w:val="24"/>
        </w:rPr>
        <w:t xml:space="preserve"> of </w:t>
      </w:r>
      <w:r w:rsidR="003A39C1">
        <w:rPr>
          <w:rFonts w:ascii="Times New Roman" w:hAnsi="Times New Roman" w:cs="Times New Roman"/>
          <w:sz w:val="24"/>
          <w:szCs w:val="24"/>
        </w:rPr>
        <w:t>causation.</w:t>
      </w:r>
    </w:p>
    <w:p w:rsidR="001735BF" w:rsidRDefault="00594C9C" w:rsidP="001735BF">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appeal,</w:t>
      </w:r>
      <w:r w:rsidR="000777EC">
        <w:rPr>
          <w:rFonts w:ascii="Times New Roman" w:hAnsi="Times New Roman" w:cs="Times New Roman"/>
          <w:sz w:val="24"/>
          <w:szCs w:val="24"/>
        </w:rPr>
        <w:t xml:space="preserve"> </w:t>
      </w:r>
      <w:r w:rsidR="003A39C1">
        <w:rPr>
          <w:rFonts w:ascii="Times New Roman" w:hAnsi="Times New Roman" w:cs="Times New Roman"/>
          <w:sz w:val="24"/>
          <w:szCs w:val="24"/>
        </w:rPr>
        <w:t xml:space="preserve">the Fifth Circuit </w:t>
      </w:r>
      <w:r w:rsidR="000777EC">
        <w:rPr>
          <w:rFonts w:ascii="Times New Roman" w:hAnsi="Times New Roman" w:cs="Times New Roman"/>
          <w:sz w:val="24"/>
          <w:szCs w:val="24"/>
        </w:rPr>
        <w:t>affirmed</w:t>
      </w:r>
      <w:r w:rsidR="003A39C1">
        <w:rPr>
          <w:rFonts w:ascii="Times New Roman" w:hAnsi="Times New Roman" w:cs="Times New Roman"/>
          <w:sz w:val="24"/>
          <w:szCs w:val="24"/>
        </w:rPr>
        <w:t xml:space="preserve"> the grant </w:t>
      </w:r>
      <w:r w:rsidR="000777EC">
        <w:rPr>
          <w:rFonts w:ascii="Times New Roman" w:hAnsi="Times New Roman" w:cs="Times New Roman"/>
          <w:sz w:val="24"/>
          <w:szCs w:val="24"/>
        </w:rPr>
        <w:t>of</w:t>
      </w:r>
      <w:r w:rsidR="003A39C1">
        <w:rPr>
          <w:rFonts w:ascii="Times New Roman" w:hAnsi="Times New Roman" w:cs="Times New Roman"/>
          <w:sz w:val="24"/>
          <w:szCs w:val="24"/>
        </w:rPr>
        <w:t xml:space="preserve"> summary judgment to SPI on all </w:t>
      </w:r>
      <w:r w:rsidR="000777EC">
        <w:rPr>
          <w:rFonts w:ascii="Times New Roman" w:hAnsi="Times New Roman" w:cs="Times New Roman"/>
          <w:sz w:val="24"/>
          <w:szCs w:val="24"/>
        </w:rPr>
        <w:t xml:space="preserve">the </w:t>
      </w:r>
      <w:r w:rsidR="003A39C1">
        <w:rPr>
          <w:rFonts w:ascii="Times New Roman" w:hAnsi="Times New Roman" w:cs="Times New Roman"/>
          <w:sz w:val="24"/>
          <w:szCs w:val="24"/>
        </w:rPr>
        <w:t xml:space="preserve">Relators’ claims. </w:t>
      </w:r>
      <w:r w:rsidR="000777EC">
        <w:rPr>
          <w:rFonts w:ascii="Times New Roman" w:hAnsi="Times New Roman" w:cs="Times New Roman"/>
          <w:sz w:val="24"/>
          <w:szCs w:val="24"/>
        </w:rPr>
        <w:t xml:space="preserve"> </w:t>
      </w:r>
      <w:r w:rsidR="001735BF">
        <w:rPr>
          <w:rFonts w:ascii="Times New Roman" w:hAnsi="Times New Roman" w:cs="Times New Roman"/>
          <w:sz w:val="24"/>
          <w:szCs w:val="24"/>
        </w:rPr>
        <w:t>M</w:t>
      </w:r>
      <w:r w:rsidR="000777EC">
        <w:rPr>
          <w:rFonts w:ascii="Times New Roman" w:hAnsi="Times New Roman" w:cs="Times New Roman"/>
          <w:sz w:val="24"/>
          <w:szCs w:val="24"/>
        </w:rPr>
        <w:t>ost significantly, t</w:t>
      </w:r>
      <w:r w:rsidR="003A39C1">
        <w:rPr>
          <w:rFonts w:ascii="Times New Roman" w:hAnsi="Times New Roman" w:cs="Times New Roman"/>
          <w:sz w:val="24"/>
          <w:szCs w:val="24"/>
        </w:rPr>
        <w:t xml:space="preserve">he court </w:t>
      </w:r>
      <w:r w:rsidR="000777EC">
        <w:rPr>
          <w:rFonts w:ascii="Times New Roman" w:hAnsi="Times New Roman" w:cs="Times New Roman"/>
          <w:sz w:val="24"/>
          <w:szCs w:val="24"/>
        </w:rPr>
        <w:t xml:space="preserve">of appeals </w:t>
      </w:r>
      <w:r w:rsidR="003A39C1">
        <w:rPr>
          <w:rFonts w:ascii="Times New Roman" w:hAnsi="Times New Roman" w:cs="Times New Roman"/>
          <w:sz w:val="24"/>
          <w:szCs w:val="24"/>
        </w:rPr>
        <w:t xml:space="preserve">emphasized </w:t>
      </w:r>
      <w:r w:rsidR="000777EC">
        <w:rPr>
          <w:rFonts w:ascii="Times New Roman" w:hAnsi="Times New Roman" w:cs="Times New Roman"/>
          <w:sz w:val="24"/>
          <w:szCs w:val="24"/>
        </w:rPr>
        <w:t xml:space="preserve">the </w:t>
      </w:r>
      <w:r w:rsidR="003A39C1">
        <w:rPr>
          <w:rFonts w:ascii="Times New Roman" w:hAnsi="Times New Roman" w:cs="Times New Roman"/>
          <w:sz w:val="24"/>
          <w:szCs w:val="24"/>
        </w:rPr>
        <w:t xml:space="preserve">lack of evidence </w:t>
      </w:r>
      <w:r w:rsidR="000777EC">
        <w:rPr>
          <w:rFonts w:ascii="Times New Roman" w:hAnsi="Times New Roman" w:cs="Times New Roman"/>
          <w:sz w:val="24"/>
          <w:szCs w:val="24"/>
        </w:rPr>
        <w:t xml:space="preserve">that the defendant’s </w:t>
      </w:r>
      <w:r w:rsidR="003A39C1">
        <w:rPr>
          <w:rFonts w:ascii="Times New Roman" w:hAnsi="Times New Roman" w:cs="Times New Roman"/>
          <w:sz w:val="24"/>
          <w:szCs w:val="24"/>
        </w:rPr>
        <w:t xml:space="preserve">off-label marketing </w:t>
      </w:r>
      <w:r w:rsidR="000777EC">
        <w:rPr>
          <w:rFonts w:ascii="Times New Roman" w:hAnsi="Times New Roman" w:cs="Times New Roman"/>
          <w:sz w:val="24"/>
          <w:szCs w:val="24"/>
        </w:rPr>
        <w:t>activities had caused the submission of</w:t>
      </w:r>
      <w:r w:rsidR="003A39C1">
        <w:rPr>
          <w:rFonts w:ascii="Times New Roman" w:hAnsi="Times New Roman" w:cs="Times New Roman"/>
          <w:sz w:val="24"/>
          <w:szCs w:val="24"/>
        </w:rPr>
        <w:t xml:space="preserve"> false claims </w:t>
      </w:r>
      <w:r w:rsidR="000777EC">
        <w:rPr>
          <w:rFonts w:ascii="Times New Roman" w:hAnsi="Times New Roman" w:cs="Times New Roman"/>
          <w:sz w:val="24"/>
          <w:szCs w:val="24"/>
        </w:rPr>
        <w:t xml:space="preserve">to Medicaid </w:t>
      </w:r>
      <w:r w:rsidR="003A39C1">
        <w:rPr>
          <w:rFonts w:ascii="Times New Roman" w:hAnsi="Times New Roman" w:cs="Times New Roman"/>
          <w:sz w:val="24"/>
          <w:szCs w:val="24"/>
        </w:rPr>
        <w:t xml:space="preserve">for </w:t>
      </w:r>
      <w:r w:rsidR="000777EC">
        <w:rPr>
          <w:rFonts w:ascii="Times New Roman" w:hAnsi="Times New Roman" w:cs="Times New Roman"/>
          <w:sz w:val="24"/>
          <w:szCs w:val="24"/>
        </w:rPr>
        <w:t xml:space="preserve">the </w:t>
      </w:r>
      <w:r w:rsidR="003A39C1">
        <w:rPr>
          <w:rFonts w:ascii="Times New Roman" w:hAnsi="Times New Roman" w:cs="Times New Roman"/>
          <w:sz w:val="24"/>
          <w:szCs w:val="24"/>
        </w:rPr>
        <w:t xml:space="preserve">off-label use of </w:t>
      </w:r>
      <w:r w:rsidR="000777EC">
        <w:rPr>
          <w:rFonts w:ascii="Times New Roman" w:hAnsi="Times New Roman" w:cs="Times New Roman"/>
          <w:sz w:val="24"/>
          <w:szCs w:val="24"/>
        </w:rPr>
        <w:t xml:space="preserve">the </w:t>
      </w:r>
      <w:r w:rsidR="003A39C1">
        <w:rPr>
          <w:rFonts w:ascii="Times New Roman" w:hAnsi="Times New Roman" w:cs="Times New Roman"/>
          <w:sz w:val="24"/>
          <w:szCs w:val="24"/>
        </w:rPr>
        <w:t>drugs</w:t>
      </w:r>
      <w:r w:rsidR="000777EC">
        <w:rPr>
          <w:rFonts w:ascii="Times New Roman" w:hAnsi="Times New Roman" w:cs="Times New Roman"/>
          <w:sz w:val="24"/>
          <w:szCs w:val="24"/>
        </w:rPr>
        <w:t xml:space="preserve">.  </w:t>
      </w:r>
      <w:r w:rsidR="001735BF">
        <w:rPr>
          <w:rFonts w:ascii="Times New Roman" w:hAnsi="Times New Roman" w:cs="Times New Roman"/>
          <w:sz w:val="24"/>
          <w:szCs w:val="24"/>
        </w:rPr>
        <w:t>Pointing to the language of</w:t>
      </w:r>
      <w:r w:rsidR="000777EC">
        <w:rPr>
          <w:rFonts w:ascii="Times New Roman" w:hAnsi="Times New Roman" w:cs="Times New Roman"/>
          <w:sz w:val="24"/>
          <w:szCs w:val="24"/>
        </w:rPr>
        <w:t xml:space="preserve"> </w:t>
      </w:r>
      <w:r w:rsidR="00924EC4">
        <w:rPr>
          <w:rFonts w:ascii="Times New Roman" w:hAnsi="Times New Roman" w:cs="Times New Roman"/>
          <w:sz w:val="24"/>
          <w:szCs w:val="24"/>
        </w:rPr>
        <w:t>21 U.S.C. § 396</w:t>
      </w:r>
      <w:r w:rsidR="000777EC">
        <w:rPr>
          <w:rFonts w:ascii="Times New Roman" w:hAnsi="Times New Roman" w:cs="Times New Roman"/>
          <w:sz w:val="24"/>
          <w:szCs w:val="24"/>
        </w:rPr>
        <w:t xml:space="preserve">, </w:t>
      </w:r>
      <w:r w:rsidR="001735BF">
        <w:rPr>
          <w:rFonts w:ascii="Times New Roman" w:hAnsi="Times New Roman" w:cs="Times New Roman"/>
          <w:sz w:val="24"/>
          <w:szCs w:val="24"/>
        </w:rPr>
        <w:t xml:space="preserve">the court noted that “the FDA does not restrict physicians from prescribing an otherwise FDA-approved drug for an off-label use.” </w:t>
      </w:r>
      <w:r w:rsidR="001735BF" w:rsidRPr="001735BF">
        <w:rPr>
          <w:rFonts w:ascii="Times New Roman" w:hAnsi="Times New Roman" w:cs="Times New Roman"/>
          <w:i/>
          <w:sz w:val="24"/>
          <w:szCs w:val="24"/>
        </w:rPr>
        <w:t>United States ex rel. King, et al., v. Solvay Pharmaceuticals, Inc.</w:t>
      </w:r>
      <w:r w:rsidR="001735BF">
        <w:rPr>
          <w:rFonts w:ascii="Times New Roman" w:hAnsi="Times New Roman" w:cs="Times New Roman"/>
          <w:sz w:val="24"/>
          <w:szCs w:val="24"/>
        </w:rPr>
        <w:t>, 871 F.3d at 328.</w:t>
      </w:r>
    </w:p>
    <w:p w:rsidR="00F02339" w:rsidRPr="00CE4EE9" w:rsidRDefault="001735BF" w:rsidP="001735BF">
      <w:pPr>
        <w:spacing w:line="480" w:lineRule="auto"/>
        <w:ind w:firstLine="720"/>
        <w:rPr>
          <w:rFonts w:ascii="Times New Roman" w:hAnsi="Times New Roman" w:cs="Times New Roman"/>
          <w:color w:val="212121"/>
          <w:sz w:val="24"/>
          <w:szCs w:val="24"/>
        </w:rPr>
      </w:pPr>
      <w:r>
        <w:rPr>
          <w:rFonts w:ascii="Times New Roman" w:hAnsi="Times New Roman" w:cs="Times New Roman"/>
          <w:sz w:val="24"/>
          <w:szCs w:val="24"/>
        </w:rPr>
        <w:t xml:space="preserve">In support of their position, </w:t>
      </w:r>
      <w:r w:rsidR="000E68ED" w:rsidRPr="001E7A7D">
        <w:rPr>
          <w:rFonts w:ascii="Times New Roman" w:hAnsi="Times New Roman" w:cs="Times New Roman"/>
          <w:color w:val="212121"/>
          <w:sz w:val="24"/>
          <w:szCs w:val="24"/>
        </w:rPr>
        <w:t xml:space="preserve">Relators </w:t>
      </w:r>
      <w:r>
        <w:rPr>
          <w:rFonts w:ascii="Times New Roman" w:hAnsi="Times New Roman" w:cs="Times New Roman"/>
          <w:color w:val="212121"/>
          <w:sz w:val="24"/>
          <w:szCs w:val="24"/>
        </w:rPr>
        <w:t>referred to</w:t>
      </w:r>
      <w:r w:rsidR="00E638B2">
        <w:rPr>
          <w:rFonts w:ascii="Times New Roman" w:hAnsi="Times New Roman" w:cs="Times New Roman"/>
          <w:color w:val="212121"/>
          <w:sz w:val="24"/>
          <w:szCs w:val="24"/>
        </w:rPr>
        <w:t xml:space="preserve"> an</w:t>
      </w:r>
      <w:r w:rsidR="000E68ED" w:rsidRPr="001E7A7D">
        <w:rPr>
          <w:rFonts w:ascii="Times New Roman" w:hAnsi="Times New Roman" w:cs="Times New Roman"/>
          <w:color w:val="212121"/>
          <w:sz w:val="24"/>
          <w:szCs w:val="24"/>
        </w:rPr>
        <w:t xml:space="preserve"> expert report</w:t>
      </w:r>
      <w:r w:rsidR="00E638B2">
        <w:rPr>
          <w:rFonts w:ascii="Times New Roman" w:hAnsi="Times New Roman" w:cs="Times New Roman"/>
          <w:color w:val="212121"/>
          <w:sz w:val="24"/>
          <w:szCs w:val="24"/>
        </w:rPr>
        <w:t xml:space="preserve"> </w:t>
      </w:r>
      <w:r>
        <w:rPr>
          <w:rFonts w:ascii="Times New Roman" w:hAnsi="Times New Roman" w:cs="Times New Roman"/>
          <w:color w:val="212121"/>
          <w:sz w:val="24"/>
          <w:szCs w:val="24"/>
        </w:rPr>
        <w:t>claiming</w:t>
      </w:r>
      <w:r w:rsidR="00D41384" w:rsidRPr="001E7A7D">
        <w:rPr>
          <w:rFonts w:ascii="Times New Roman" w:hAnsi="Times New Roman" w:cs="Times New Roman"/>
          <w:color w:val="212121"/>
          <w:sz w:val="24"/>
          <w:szCs w:val="24"/>
        </w:rPr>
        <w:t xml:space="preserve"> th</w:t>
      </w:r>
      <w:r>
        <w:rPr>
          <w:rFonts w:ascii="Times New Roman" w:hAnsi="Times New Roman" w:cs="Times New Roman"/>
          <w:color w:val="212121"/>
          <w:sz w:val="24"/>
          <w:szCs w:val="24"/>
        </w:rPr>
        <w:t>at</w:t>
      </w:r>
      <w:r w:rsidR="00D41384" w:rsidRPr="001E7A7D">
        <w:rPr>
          <w:rFonts w:ascii="Times New Roman" w:hAnsi="Times New Roman" w:cs="Times New Roman"/>
          <w:color w:val="212121"/>
          <w:sz w:val="24"/>
          <w:szCs w:val="24"/>
        </w:rPr>
        <w:t xml:space="preserve"> </w:t>
      </w:r>
      <w:r w:rsidR="00CE4EE9" w:rsidRPr="00CE4EE9">
        <w:rPr>
          <w:rFonts w:ascii="Times New Roman" w:hAnsi="Times New Roman" w:cs="Times New Roman"/>
          <w:color w:val="212121"/>
          <w:sz w:val="24"/>
          <w:szCs w:val="24"/>
        </w:rPr>
        <w:t>economic studies</w:t>
      </w:r>
      <w:r w:rsidR="00CE4EE9">
        <w:rPr>
          <w:rFonts w:ascii="Times New Roman" w:hAnsi="Times New Roman" w:cs="Times New Roman"/>
          <w:color w:val="212121"/>
          <w:sz w:val="24"/>
          <w:szCs w:val="24"/>
        </w:rPr>
        <w:t xml:space="preserve"> </w:t>
      </w:r>
      <w:r w:rsidR="00CE4EE9" w:rsidRPr="00CE4EE9">
        <w:rPr>
          <w:rFonts w:ascii="Times New Roman" w:hAnsi="Times New Roman" w:cs="Times New Roman"/>
          <w:color w:val="212121"/>
          <w:sz w:val="24"/>
          <w:szCs w:val="24"/>
        </w:rPr>
        <w:t>show</w:t>
      </w:r>
      <w:r>
        <w:rPr>
          <w:rFonts w:ascii="Times New Roman" w:hAnsi="Times New Roman" w:cs="Times New Roman"/>
          <w:color w:val="212121"/>
          <w:sz w:val="24"/>
          <w:szCs w:val="24"/>
        </w:rPr>
        <w:t xml:space="preserve">ed a link between </w:t>
      </w:r>
      <w:r w:rsidR="00CE4EE9" w:rsidRPr="00CE4EE9">
        <w:rPr>
          <w:rFonts w:ascii="Times New Roman" w:hAnsi="Times New Roman" w:cs="Times New Roman"/>
          <w:color w:val="212121"/>
          <w:sz w:val="24"/>
          <w:szCs w:val="24"/>
        </w:rPr>
        <w:t xml:space="preserve">pharmaceutical marketing </w:t>
      </w:r>
      <w:r>
        <w:rPr>
          <w:rFonts w:ascii="Times New Roman" w:hAnsi="Times New Roman" w:cs="Times New Roman"/>
          <w:color w:val="212121"/>
          <w:sz w:val="24"/>
          <w:szCs w:val="24"/>
        </w:rPr>
        <w:t xml:space="preserve">and </w:t>
      </w:r>
      <w:r w:rsidR="00CE4EE9" w:rsidRPr="00CE4EE9">
        <w:rPr>
          <w:rFonts w:ascii="Times New Roman" w:hAnsi="Times New Roman" w:cs="Times New Roman"/>
          <w:color w:val="212121"/>
          <w:sz w:val="24"/>
          <w:szCs w:val="24"/>
        </w:rPr>
        <w:t>increased pharmaceutical sales</w:t>
      </w:r>
      <w:r w:rsidR="00CE4EE9">
        <w:rPr>
          <w:rFonts w:ascii="Times New Roman" w:hAnsi="Times New Roman" w:cs="Times New Roman"/>
          <w:color w:val="212121"/>
          <w:sz w:val="24"/>
          <w:szCs w:val="24"/>
        </w:rPr>
        <w:t>. Relators argued that</w:t>
      </w:r>
      <w:r>
        <w:rPr>
          <w:rFonts w:ascii="Times New Roman" w:hAnsi="Times New Roman" w:cs="Times New Roman"/>
          <w:color w:val="212121"/>
          <w:sz w:val="24"/>
          <w:szCs w:val="24"/>
        </w:rPr>
        <w:t xml:space="preserve"> this demonstrated that</w:t>
      </w:r>
      <w:r w:rsidR="00CE4EE9" w:rsidRPr="00CE4EE9">
        <w:rPr>
          <w:rFonts w:ascii="Times New Roman" w:hAnsi="Times New Roman" w:cs="Times New Roman"/>
          <w:color w:val="212121"/>
          <w:sz w:val="24"/>
          <w:szCs w:val="24"/>
        </w:rPr>
        <w:t xml:space="preserve"> Solvay’s off-label marketing scheme must have </w:t>
      </w:r>
      <w:r>
        <w:rPr>
          <w:rFonts w:ascii="Times New Roman" w:hAnsi="Times New Roman" w:cs="Times New Roman"/>
          <w:color w:val="212121"/>
          <w:sz w:val="24"/>
          <w:szCs w:val="24"/>
        </w:rPr>
        <w:t>resulted in an</w:t>
      </w:r>
      <w:r w:rsidR="00CE4EE9" w:rsidRPr="00CE4EE9">
        <w:rPr>
          <w:rFonts w:ascii="Times New Roman" w:hAnsi="Times New Roman" w:cs="Times New Roman"/>
          <w:color w:val="212121"/>
          <w:sz w:val="24"/>
          <w:szCs w:val="24"/>
        </w:rPr>
        <w:t xml:space="preserve"> increase</w:t>
      </w:r>
      <w:r>
        <w:rPr>
          <w:rFonts w:ascii="Times New Roman" w:hAnsi="Times New Roman" w:cs="Times New Roman"/>
          <w:color w:val="212121"/>
          <w:sz w:val="24"/>
          <w:szCs w:val="24"/>
        </w:rPr>
        <w:t xml:space="preserve"> in the number of</w:t>
      </w:r>
      <w:r w:rsidR="00CE4EE9" w:rsidRPr="00CE4EE9">
        <w:rPr>
          <w:rFonts w:ascii="Times New Roman" w:hAnsi="Times New Roman" w:cs="Times New Roman"/>
          <w:color w:val="212121"/>
          <w:sz w:val="24"/>
          <w:szCs w:val="24"/>
        </w:rPr>
        <w:t xml:space="preserve"> off-label prescriptions </w:t>
      </w:r>
      <w:r>
        <w:rPr>
          <w:rFonts w:ascii="Times New Roman" w:hAnsi="Times New Roman" w:cs="Times New Roman"/>
          <w:color w:val="212121"/>
          <w:sz w:val="24"/>
          <w:szCs w:val="24"/>
        </w:rPr>
        <w:t xml:space="preserve">that were </w:t>
      </w:r>
      <w:r w:rsidR="00CE4EE9" w:rsidRPr="00CE4EE9">
        <w:rPr>
          <w:rFonts w:ascii="Times New Roman" w:hAnsi="Times New Roman" w:cs="Times New Roman"/>
          <w:color w:val="212121"/>
          <w:sz w:val="24"/>
          <w:szCs w:val="24"/>
        </w:rPr>
        <w:t>reimbursed through</w:t>
      </w:r>
      <w:r>
        <w:rPr>
          <w:rFonts w:ascii="Times New Roman" w:hAnsi="Times New Roman" w:cs="Times New Roman"/>
          <w:color w:val="212121"/>
          <w:sz w:val="24"/>
          <w:szCs w:val="24"/>
        </w:rPr>
        <w:t xml:space="preserve"> the</w:t>
      </w:r>
      <w:r w:rsidR="00CE4EE9" w:rsidRPr="00CE4EE9">
        <w:rPr>
          <w:rFonts w:ascii="Times New Roman" w:hAnsi="Times New Roman" w:cs="Times New Roman"/>
          <w:color w:val="212121"/>
          <w:sz w:val="24"/>
          <w:szCs w:val="24"/>
        </w:rPr>
        <w:t xml:space="preserve"> Medicaid</w:t>
      </w:r>
      <w:r>
        <w:rPr>
          <w:rFonts w:ascii="Times New Roman" w:hAnsi="Times New Roman" w:cs="Times New Roman"/>
          <w:color w:val="212121"/>
          <w:sz w:val="24"/>
          <w:szCs w:val="24"/>
        </w:rPr>
        <w:t xml:space="preserve"> program</w:t>
      </w:r>
      <w:r w:rsidR="00CE4EE9" w:rsidRPr="00CE4EE9">
        <w:rPr>
          <w:rFonts w:ascii="Times New Roman" w:hAnsi="Times New Roman" w:cs="Times New Roman"/>
          <w:color w:val="212121"/>
          <w:sz w:val="24"/>
          <w:szCs w:val="24"/>
        </w:rPr>
        <w:t>.</w:t>
      </w:r>
      <w:r w:rsidR="00CE4EE9">
        <w:rPr>
          <w:rFonts w:ascii="Times New Roman" w:hAnsi="Times New Roman" w:cs="Times New Roman"/>
          <w:color w:val="212121"/>
          <w:sz w:val="24"/>
          <w:szCs w:val="24"/>
        </w:rPr>
        <w:t xml:space="preserve"> </w:t>
      </w:r>
      <w:r w:rsidR="0075057C">
        <w:rPr>
          <w:rFonts w:ascii="Times New Roman" w:hAnsi="Times New Roman" w:cs="Times New Roman"/>
          <w:color w:val="212121"/>
          <w:sz w:val="24"/>
          <w:szCs w:val="24"/>
        </w:rPr>
        <w:t xml:space="preserve"> T</w:t>
      </w:r>
      <w:r w:rsidR="00D41384" w:rsidRPr="001E7A7D">
        <w:rPr>
          <w:rFonts w:ascii="Times New Roman" w:hAnsi="Times New Roman" w:cs="Times New Roman"/>
          <w:color w:val="212121"/>
          <w:sz w:val="24"/>
          <w:szCs w:val="24"/>
        </w:rPr>
        <w:t xml:space="preserve">he court </w:t>
      </w:r>
      <w:r w:rsidR="0075057C">
        <w:rPr>
          <w:rFonts w:ascii="Times New Roman" w:hAnsi="Times New Roman" w:cs="Times New Roman"/>
          <w:color w:val="212121"/>
          <w:sz w:val="24"/>
          <w:szCs w:val="24"/>
        </w:rPr>
        <w:t>rejected</w:t>
      </w:r>
      <w:r w:rsidR="00D41384" w:rsidRPr="001E7A7D">
        <w:rPr>
          <w:rFonts w:ascii="Times New Roman" w:hAnsi="Times New Roman" w:cs="Times New Roman"/>
          <w:color w:val="212121"/>
          <w:sz w:val="24"/>
          <w:szCs w:val="24"/>
        </w:rPr>
        <w:t xml:space="preserve"> this</w:t>
      </w:r>
      <w:r w:rsidR="00E638B2">
        <w:rPr>
          <w:rFonts w:ascii="Times New Roman" w:hAnsi="Times New Roman" w:cs="Times New Roman"/>
          <w:color w:val="212121"/>
          <w:sz w:val="24"/>
          <w:szCs w:val="24"/>
        </w:rPr>
        <w:t xml:space="preserve"> conclusion </w:t>
      </w:r>
      <w:r w:rsidR="0075057C">
        <w:rPr>
          <w:rFonts w:ascii="Times New Roman" w:hAnsi="Times New Roman" w:cs="Times New Roman"/>
          <w:color w:val="212121"/>
          <w:sz w:val="24"/>
          <w:szCs w:val="24"/>
        </w:rPr>
        <w:t xml:space="preserve">as </w:t>
      </w:r>
      <w:r w:rsidR="000E68ED" w:rsidRPr="001E7A7D">
        <w:rPr>
          <w:rFonts w:ascii="Times New Roman" w:hAnsi="Times New Roman" w:cs="Times New Roman"/>
          <w:color w:val="212121"/>
          <w:sz w:val="24"/>
          <w:szCs w:val="24"/>
        </w:rPr>
        <w:t>speculative and therefore insufficie</w:t>
      </w:r>
      <w:r w:rsidR="00D41384" w:rsidRPr="001E7A7D">
        <w:rPr>
          <w:rFonts w:ascii="Times New Roman" w:hAnsi="Times New Roman" w:cs="Times New Roman"/>
          <w:color w:val="212121"/>
          <w:sz w:val="24"/>
          <w:szCs w:val="24"/>
        </w:rPr>
        <w:t>nt to preclude summary judgment</w:t>
      </w:r>
      <w:r w:rsidR="0075057C">
        <w:rPr>
          <w:rFonts w:ascii="Times New Roman" w:hAnsi="Times New Roman" w:cs="Times New Roman"/>
          <w:color w:val="212121"/>
          <w:sz w:val="24"/>
          <w:szCs w:val="24"/>
        </w:rPr>
        <w:t>.  The court concluded that, despite Relator’s attempt to show a</w:t>
      </w:r>
      <w:r w:rsidR="00C20E72">
        <w:rPr>
          <w:rFonts w:ascii="Times New Roman" w:hAnsi="Times New Roman" w:cs="Times New Roman"/>
          <w:color w:val="212121"/>
          <w:sz w:val="24"/>
          <w:szCs w:val="24"/>
        </w:rPr>
        <w:t xml:space="preserve"> correlation between marketing and prescribing, “w</w:t>
      </w:r>
      <w:r w:rsidR="00CE4EE9" w:rsidRPr="00CE4EE9">
        <w:rPr>
          <w:rFonts w:ascii="Times New Roman" w:hAnsi="Times New Roman" w:cs="Times New Roman"/>
          <w:color w:val="212121"/>
          <w:sz w:val="24"/>
          <w:szCs w:val="24"/>
        </w:rPr>
        <w:t xml:space="preserve">ithout evidence indicating that off-label marketing actually caused off-label prescriptions to Medicaid patients resulting in false claims to the government, Relators’ off-label marketing theory of FCA liability </w:t>
      </w:r>
      <w:r w:rsidR="00CE4EE9">
        <w:rPr>
          <w:rFonts w:ascii="Times New Roman" w:hAnsi="Times New Roman" w:cs="Times New Roman"/>
          <w:color w:val="212121"/>
          <w:sz w:val="24"/>
          <w:szCs w:val="24"/>
        </w:rPr>
        <w:t xml:space="preserve">cannot survive summary judgment” </w:t>
      </w:r>
      <w:r w:rsidR="0075057C">
        <w:rPr>
          <w:rFonts w:ascii="Times New Roman" w:hAnsi="Times New Roman" w:cs="Times New Roman"/>
          <w:i/>
          <w:color w:val="212121"/>
          <w:sz w:val="24"/>
          <w:szCs w:val="24"/>
        </w:rPr>
        <w:t>Id.</w:t>
      </w:r>
      <w:r w:rsidR="0075057C">
        <w:rPr>
          <w:rFonts w:ascii="Times New Roman" w:hAnsi="Times New Roman" w:cs="Times New Roman"/>
          <w:color w:val="212121"/>
          <w:sz w:val="24"/>
          <w:szCs w:val="24"/>
        </w:rPr>
        <w:t xml:space="preserve"> at </w:t>
      </w:r>
      <w:r w:rsidR="00CE4EE9">
        <w:rPr>
          <w:rFonts w:ascii="Times New Roman" w:hAnsi="Times New Roman" w:cs="Times New Roman"/>
          <w:color w:val="212121"/>
          <w:sz w:val="24"/>
          <w:szCs w:val="24"/>
        </w:rPr>
        <w:t>329.</w:t>
      </w:r>
      <w:r w:rsidR="00CE4EE9" w:rsidRPr="00193FDD">
        <w:rPr>
          <w:rFonts w:ascii="Times New Roman" w:hAnsi="Times New Roman" w:cs="Times New Roman"/>
          <w:color w:val="212121"/>
          <w:sz w:val="24"/>
          <w:szCs w:val="24"/>
        </w:rPr>
        <w:t xml:space="preserve"> </w:t>
      </w:r>
    </w:p>
    <w:p w:rsidR="008445AD" w:rsidRPr="00BD226A" w:rsidRDefault="00F02339" w:rsidP="003B0969">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sidR="0033634E">
        <w:rPr>
          <w:rFonts w:ascii="Times New Roman" w:hAnsi="Times New Roman" w:cs="Times New Roman"/>
          <w:color w:val="212121"/>
          <w:sz w:val="24"/>
          <w:szCs w:val="24"/>
        </w:rPr>
        <w:t xml:space="preserve">Relators also </w:t>
      </w:r>
      <w:r w:rsidR="00AE0BF1">
        <w:rPr>
          <w:rFonts w:ascii="Times New Roman" w:hAnsi="Times New Roman" w:cs="Times New Roman"/>
          <w:color w:val="212121"/>
          <w:sz w:val="24"/>
          <w:szCs w:val="24"/>
        </w:rPr>
        <w:t xml:space="preserve">argued that causation could be established from </w:t>
      </w:r>
      <w:r w:rsidR="00193FDD" w:rsidRPr="00193FDD">
        <w:rPr>
          <w:rFonts w:ascii="Times New Roman" w:hAnsi="Times New Roman" w:cs="Times New Roman"/>
          <w:color w:val="212121"/>
          <w:sz w:val="24"/>
          <w:szCs w:val="24"/>
        </w:rPr>
        <w:t xml:space="preserve">a set of call notes recorded by sales representatives about their communications with physicians regarding Luvox and Aceon. </w:t>
      </w:r>
      <w:r w:rsidR="00AE0BF1">
        <w:rPr>
          <w:rFonts w:ascii="Times New Roman" w:hAnsi="Times New Roman" w:cs="Times New Roman"/>
          <w:color w:val="212121"/>
          <w:sz w:val="24"/>
          <w:szCs w:val="24"/>
        </w:rPr>
        <w:t xml:space="preserve">The court rejected that argument, finding that </w:t>
      </w:r>
      <w:r>
        <w:rPr>
          <w:rFonts w:ascii="Times New Roman" w:hAnsi="Times New Roman" w:cs="Times New Roman"/>
          <w:color w:val="212121"/>
          <w:sz w:val="24"/>
          <w:szCs w:val="24"/>
        </w:rPr>
        <w:t>most</w:t>
      </w:r>
      <w:r w:rsidR="00193FDD" w:rsidRPr="00193FDD">
        <w:rPr>
          <w:rFonts w:ascii="Times New Roman" w:hAnsi="Times New Roman" w:cs="Times New Roman"/>
          <w:color w:val="212121"/>
          <w:sz w:val="24"/>
          <w:szCs w:val="24"/>
        </w:rPr>
        <w:t xml:space="preserve"> of the call notes d</w:t>
      </w:r>
      <w:r w:rsidR="00AE0BF1">
        <w:rPr>
          <w:rFonts w:ascii="Times New Roman" w:hAnsi="Times New Roman" w:cs="Times New Roman"/>
          <w:color w:val="212121"/>
          <w:sz w:val="24"/>
          <w:szCs w:val="24"/>
        </w:rPr>
        <w:t>id</w:t>
      </w:r>
      <w:r w:rsidR="00193FDD" w:rsidRPr="00193FDD">
        <w:rPr>
          <w:rFonts w:ascii="Times New Roman" w:hAnsi="Times New Roman" w:cs="Times New Roman"/>
          <w:color w:val="212121"/>
          <w:sz w:val="24"/>
          <w:szCs w:val="24"/>
        </w:rPr>
        <w:t xml:space="preserve"> not discuss specific off-label use</w:t>
      </w:r>
      <w:r w:rsidR="00E83736">
        <w:rPr>
          <w:rFonts w:ascii="Times New Roman" w:hAnsi="Times New Roman" w:cs="Times New Roman"/>
          <w:color w:val="212121"/>
          <w:sz w:val="24"/>
          <w:szCs w:val="24"/>
        </w:rPr>
        <w:t>, and th</w:t>
      </w:r>
      <w:r w:rsidR="00AE0BF1">
        <w:rPr>
          <w:rFonts w:ascii="Times New Roman" w:hAnsi="Times New Roman" w:cs="Times New Roman"/>
          <w:color w:val="212121"/>
          <w:sz w:val="24"/>
          <w:szCs w:val="24"/>
        </w:rPr>
        <w:t xml:space="preserve">e ones that did only showed </w:t>
      </w:r>
      <w:r w:rsidR="00193FDD" w:rsidRPr="00193FDD">
        <w:rPr>
          <w:rFonts w:ascii="Times New Roman" w:hAnsi="Times New Roman" w:cs="Times New Roman"/>
          <w:color w:val="212121"/>
          <w:sz w:val="24"/>
          <w:szCs w:val="24"/>
        </w:rPr>
        <w:t>physicians explaining their practice</w:t>
      </w:r>
      <w:r w:rsidR="00E83736">
        <w:rPr>
          <w:rFonts w:ascii="Times New Roman" w:hAnsi="Times New Roman" w:cs="Times New Roman"/>
          <w:color w:val="212121"/>
          <w:sz w:val="24"/>
          <w:szCs w:val="24"/>
        </w:rPr>
        <w:t>s</w:t>
      </w:r>
      <w:r w:rsidR="00193FDD" w:rsidRPr="00193FDD">
        <w:rPr>
          <w:rFonts w:ascii="Times New Roman" w:hAnsi="Times New Roman" w:cs="Times New Roman"/>
          <w:color w:val="212121"/>
          <w:sz w:val="24"/>
          <w:szCs w:val="24"/>
        </w:rPr>
        <w:t xml:space="preserve">, </w:t>
      </w:r>
      <w:r w:rsidR="00E83736">
        <w:rPr>
          <w:rFonts w:ascii="Times New Roman" w:hAnsi="Times New Roman" w:cs="Times New Roman"/>
          <w:color w:val="212121"/>
          <w:sz w:val="24"/>
          <w:szCs w:val="24"/>
        </w:rPr>
        <w:t>“</w:t>
      </w:r>
      <w:r w:rsidR="00193FDD" w:rsidRPr="00193FDD">
        <w:rPr>
          <w:rFonts w:ascii="Times New Roman" w:hAnsi="Times New Roman" w:cs="Times New Roman"/>
          <w:color w:val="212121"/>
          <w:sz w:val="24"/>
          <w:szCs w:val="24"/>
        </w:rPr>
        <w:t xml:space="preserve">which provides no insight into whether Solvay marketed the off-label uses to them, let alone caused them </w:t>
      </w:r>
      <w:r w:rsidR="002566FB">
        <w:rPr>
          <w:rFonts w:ascii="Times New Roman" w:hAnsi="Times New Roman" w:cs="Times New Roman"/>
          <w:color w:val="212121"/>
          <w:sz w:val="24"/>
          <w:szCs w:val="24"/>
        </w:rPr>
        <w:t>to make off-label prescriptions</w:t>
      </w:r>
      <w:r w:rsidR="00AE0BF1">
        <w:rPr>
          <w:rFonts w:ascii="Times New Roman" w:hAnsi="Times New Roman" w:cs="Times New Roman"/>
          <w:color w:val="212121"/>
          <w:sz w:val="24"/>
          <w:szCs w:val="24"/>
        </w:rPr>
        <w:t>.</w:t>
      </w:r>
      <w:r w:rsidR="00E83736">
        <w:rPr>
          <w:rFonts w:ascii="Times New Roman" w:hAnsi="Times New Roman" w:cs="Times New Roman"/>
          <w:color w:val="212121"/>
          <w:sz w:val="24"/>
          <w:szCs w:val="24"/>
        </w:rPr>
        <w:t>”</w:t>
      </w:r>
      <w:r w:rsidR="002566FB">
        <w:rPr>
          <w:rFonts w:ascii="Times New Roman" w:hAnsi="Times New Roman" w:cs="Times New Roman"/>
          <w:i/>
          <w:color w:val="212121"/>
          <w:sz w:val="24"/>
          <w:szCs w:val="24"/>
        </w:rPr>
        <w:t xml:space="preserve"> </w:t>
      </w:r>
      <w:r w:rsidR="00CE4EE9">
        <w:rPr>
          <w:rFonts w:ascii="Times New Roman" w:hAnsi="Times New Roman" w:cs="Times New Roman"/>
          <w:i/>
          <w:color w:val="212121"/>
          <w:sz w:val="24"/>
          <w:szCs w:val="24"/>
        </w:rPr>
        <w:t>Id.</w:t>
      </w:r>
      <w:r w:rsidR="00CE4EE9">
        <w:rPr>
          <w:rFonts w:ascii="Times New Roman" w:hAnsi="Times New Roman" w:cs="Times New Roman"/>
          <w:color w:val="212121"/>
          <w:sz w:val="24"/>
          <w:szCs w:val="24"/>
        </w:rPr>
        <w:t xml:space="preserve"> </w:t>
      </w:r>
      <w:r w:rsidR="00AE0BF1">
        <w:rPr>
          <w:rFonts w:ascii="Times New Roman" w:hAnsi="Times New Roman" w:cs="Times New Roman"/>
          <w:color w:val="212121"/>
          <w:sz w:val="24"/>
          <w:szCs w:val="24"/>
        </w:rPr>
        <w:t xml:space="preserve"> </w:t>
      </w:r>
      <w:r w:rsidR="00933A7B">
        <w:rPr>
          <w:rFonts w:ascii="Times New Roman" w:hAnsi="Times New Roman" w:cs="Times New Roman"/>
          <w:color w:val="212121"/>
          <w:sz w:val="24"/>
          <w:szCs w:val="24"/>
        </w:rPr>
        <w:t xml:space="preserve">Relators </w:t>
      </w:r>
      <w:r w:rsidR="00AE0BF1">
        <w:rPr>
          <w:rFonts w:ascii="Times New Roman" w:hAnsi="Times New Roman" w:cs="Times New Roman"/>
          <w:color w:val="212121"/>
          <w:sz w:val="24"/>
          <w:szCs w:val="24"/>
        </w:rPr>
        <w:t>argued that</w:t>
      </w:r>
      <w:r w:rsidR="00933A7B">
        <w:rPr>
          <w:rFonts w:ascii="Times New Roman" w:hAnsi="Times New Roman" w:cs="Times New Roman"/>
          <w:color w:val="212121"/>
          <w:sz w:val="24"/>
          <w:szCs w:val="24"/>
        </w:rPr>
        <w:t xml:space="preserve"> </w:t>
      </w:r>
      <w:r w:rsidR="00AE0BF1">
        <w:rPr>
          <w:rFonts w:ascii="Times New Roman" w:hAnsi="Times New Roman" w:cs="Times New Roman"/>
          <w:color w:val="212121"/>
          <w:sz w:val="24"/>
          <w:szCs w:val="24"/>
        </w:rPr>
        <w:t xml:space="preserve">physicians may have been influenced by </w:t>
      </w:r>
      <w:r w:rsidR="00933A7B">
        <w:rPr>
          <w:rFonts w:ascii="Times New Roman" w:hAnsi="Times New Roman" w:cs="Times New Roman"/>
          <w:color w:val="212121"/>
          <w:sz w:val="24"/>
          <w:szCs w:val="24"/>
        </w:rPr>
        <w:t>academic articles discussed in th</w:t>
      </w:r>
      <w:r w:rsidR="00AE0BF1">
        <w:rPr>
          <w:rFonts w:ascii="Times New Roman" w:hAnsi="Times New Roman" w:cs="Times New Roman"/>
          <w:color w:val="212121"/>
          <w:sz w:val="24"/>
          <w:szCs w:val="24"/>
        </w:rPr>
        <w:t>ose</w:t>
      </w:r>
      <w:r w:rsidR="00933A7B">
        <w:rPr>
          <w:rFonts w:ascii="Times New Roman" w:hAnsi="Times New Roman" w:cs="Times New Roman"/>
          <w:color w:val="212121"/>
          <w:sz w:val="24"/>
          <w:szCs w:val="24"/>
        </w:rPr>
        <w:t xml:space="preserve"> calls, but the</w:t>
      </w:r>
      <w:r w:rsidR="00AE0BF1">
        <w:rPr>
          <w:rFonts w:ascii="Times New Roman" w:hAnsi="Times New Roman" w:cs="Times New Roman"/>
          <w:color w:val="212121"/>
          <w:sz w:val="24"/>
          <w:szCs w:val="24"/>
        </w:rPr>
        <w:t xml:space="preserve"> court found</w:t>
      </w:r>
      <w:r w:rsidR="00933A7B">
        <w:rPr>
          <w:rFonts w:ascii="Times New Roman" w:hAnsi="Times New Roman" w:cs="Times New Roman"/>
          <w:color w:val="212121"/>
          <w:sz w:val="24"/>
          <w:szCs w:val="24"/>
        </w:rPr>
        <w:t xml:space="preserve"> no evidence that physicians knew about the articles as a direct result of </w:t>
      </w:r>
      <w:r w:rsidR="00AE0BF1">
        <w:rPr>
          <w:rFonts w:ascii="Times New Roman" w:hAnsi="Times New Roman" w:cs="Times New Roman"/>
          <w:color w:val="212121"/>
          <w:sz w:val="24"/>
          <w:szCs w:val="24"/>
        </w:rPr>
        <w:t xml:space="preserve">communications from </w:t>
      </w:r>
      <w:r w:rsidR="00933A7B">
        <w:rPr>
          <w:rFonts w:ascii="Times New Roman" w:hAnsi="Times New Roman" w:cs="Times New Roman"/>
          <w:color w:val="212121"/>
          <w:sz w:val="24"/>
          <w:szCs w:val="24"/>
        </w:rPr>
        <w:t>SPI or its sales representatives.</w:t>
      </w:r>
      <w:r w:rsidR="00AE0BF1">
        <w:rPr>
          <w:rFonts w:ascii="Times New Roman" w:hAnsi="Times New Roman" w:cs="Times New Roman"/>
          <w:color w:val="212121"/>
          <w:sz w:val="24"/>
          <w:szCs w:val="24"/>
        </w:rPr>
        <w:t xml:space="preserve">  The court concluded, </w:t>
      </w:r>
      <w:r w:rsidR="00E83736">
        <w:rPr>
          <w:rFonts w:ascii="Times New Roman" w:hAnsi="Times New Roman" w:cs="Times New Roman"/>
          <w:color w:val="212121"/>
          <w:sz w:val="24"/>
          <w:szCs w:val="24"/>
        </w:rPr>
        <w:t>“</w:t>
      </w:r>
      <w:r w:rsidR="00193FDD" w:rsidRPr="00193FDD">
        <w:rPr>
          <w:rFonts w:ascii="Times New Roman" w:hAnsi="Times New Roman" w:cs="Times New Roman"/>
          <w:color w:val="212121"/>
          <w:sz w:val="24"/>
          <w:szCs w:val="24"/>
        </w:rPr>
        <w:t>the probative value of Relators' causation evidence is primarily based on conjecture and speculation and is therefore insufficient to create a genuine issue of material fact for trial.</w:t>
      </w:r>
      <w:r w:rsidR="00E83736">
        <w:rPr>
          <w:rFonts w:ascii="Times New Roman" w:hAnsi="Times New Roman" w:cs="Times New Roman"/>
          <w:color w:val="212121"/>
          <w:sz w:val="24"/>
          <w:szCs w:val="24"/>
        </w:rPr>
        <w:t xml:space="preserve">” </w:t>
      </w:r>
      <w:r w:rsidR="00E83736">
        <w:rPr>
          <w:rFonts w:ascii="Times New Roman" w:hAnsi="Times New Roman" w:cs="Times New Roman"/>
          <w:i/>
          <w:color w:val="212121"/>
          <w:sz w:val="24"/>
          <w:szCs w:val="24"/>
        </w:rPr>
        <w:t>Id.</w:t>
      </w:r>
    </w:p>
    <w:p w:rsidR="00CD3DDA" w:rsidRPr="00435FC5" w:rsidRDefault="00CD3DDA" w:rsidP="003B0969">
      <w:pPr>
        <w:pStyle w:val="Heading1"/>
        <w:spacing w:line="480" w:lineRule="auto"/>
        <w:jc w:val="center"/>
        <w:rPr>
          <w:rFonts w:ascii="Times New Roman" w:hAnsi="Times New Roman" w:cs="Times New Roman"/>
          <w:b/>
          <w:i/>
          <w:sz w:val="24"/>
          <w:szCs w:val="24"/>
          <w:u w:val="single"/>
        </w:rPr>
      </w:pPr>
      <w:r w:rsidRPr="00435FC5">
        <w:rPr>
          <w:rFonts w:ascii="Times New Roman" w:hAnsi="Times New Roman" w:cs="Times New Roman"/>
          <w:b/>
          <w:i/>
          <w:color w:val="auto"/>
          <w:sz w:val="24"/>
          <w:szCs w:val="24"/>
          <w:u w:val="single"/>
        </w:rPr>
        <w:t>D’Agostino</w:t>
      </w:r>
    </w:p>
    <w:p w:rsidR="00E45551" w:rsidRPr="00E45551" w:rsidRDefault="00791F60" w:rsidP="003B0969">
      <w:pPr>
        <w:spacing w:line="480" w:lineRule="auto"/>
        <w:rPr>
          <w:rFonts w:ascii="Times New Roman" w:hAnsi="Times New Roman" w:cs="Times New Roman"/>
          <w:sz w:val="24"/>
          <w:szCs w:val="24"/>
        </w:rPr>
      </w:pPr>
      <w:r>
        <w:rPr>
          <w:rFonts w:ascii="Times New Roman" w:hAnsi="Times New Roman" w:cs="Times New Roman"/>
          <w:color w:val="212121"/>
          <w:sz w:val="24"/>
          <w:szCs w:val="24"/>
        </w:rPr>
        <w:tab/>
      </w:r>
      <w:r>
        <w:rPr>
          <w:rFonts w:ascii="Times New Roman" w:hAnsi="Times New Roman" w:cs="Times New Roman"/>
          <w:sz w:val="24"/>
          <w:szCs w:val="24"/>
        </w:rPr>
        <w:t xml:space="preserve">In </w:t>
      </w:r>
      <w:r>
        <w:rPr>
          <w:rFonts w:ascii="Times New Roman" w:hAnsi="Times New Roman" w:cs="Times New Roman"/>
          <w:i/>
          <w:sz w:val="24"/>
          <w:szCs w:val="24"/>
        </w:rPr>
        <w:t>D’Agostino</w:t>
      </w:r>
      <w:r>
        <w:rPr>
          <w:rFonts w:ascii="Times New Roman" w:hAnsi="Times New Roman" w:cs="Times New Roman"/>
          <w:sz w:val="24"/>
          <w:szCs w:val="24"/>
        </w:rPr>
        <w:t xml:space="preserve">, the First Circuit affirmed dismissal </w:t>
      </w:r>
      <w:r w:rsidR="0057035A">
        <w:rPr>
          <w:rFonts w:ascii="Times New Roman" w:hAnsi="Times New Roman" w:cs="Times New Roman"/>
          <w:sz w:val="24"/>
          <w:szCs w:val="24"/>
        </w:rPr>
        <w:t>of a</w:t>
      </w:r>
      <w:r>
        <w:rPr>
          <w:rFonts w:ascii="Times New Roman" w:hAnsi="Times New Roman" w:cs="Times New Roman"/>
          <w:sz w:val="24"/>
          <w:szCs w:val="24"/>
        </w:rPr>
        <w:t xml:space="preserve"> case filed against ev3</w:t>
      </w:r>
      <w:r w:rsidR="0057035A">
        <w:rPr>
          <w:rFonts w:ascii="Times New Roman" w:hAnsi="Times New Roman" w:cs="Times New Roman"/>
          <w:sz w:val="24"/>
          <w:szCs w:val="24"/>
        </w:rPr>
        <w:t>, Inc. (“ev3”)</w:t>
      </w:r>
      <w:r>
        <w:rPr>
          <w:rFonts w:ascii="Times New Roman" w:hAnsi="Times New Roman" w:cs="Times New Roman"/>
          <w:sz w:val="24"/>
          <w:szCs w:val="24"/>
        </w:rPr>
        <w:t xml:space="preserve"> and</w:t>
      </w:r>
      <w:r w:rsidR="0057035A">
        <w:rPr>
          <w:rFonts w:ascii="Times New Roman" w:hAnsi="Times New Roman" w:cs="Times New Roman"/>
          <w:sz w:val="24"/>
          <w:szCs w:val="24"/>
        </w:rPr>
        <w:t xml:space="preserve"> its subsidiary, Micro Therapeutics (“MTI”). </w:t>
      </w:r>
      <w:r w:rsidR="00AE0BF1">
        <w:rPr>
          <w:rFonts w:ascii="Times New Roman" w:hAnsi="Times New Roman" w:cs="Times New Roman"/>
          <w:sz w:val="24"/>
          <w:szCs w:val="24"/>
        </w:rPr>
        <w:t xml:space="preserve"> </w:t>
      </w:r>
      <w:r w:rsidR="0057035A">
        <w:rPr>
          <w:rFonts w:ascii="Times New Roman" w:hAnsi="Times New Roman" w:cs="Times New Roman"/>
          <w:sz w:val="24"/>
          <w:szCs w:val="24"/>
        </w:rPr>
        <w:t>Ev3 and MTI manufacture</w:t>
      </w:r>
      <w:r w:rsidR="00AE0BF1">
        <w:rPr>
          <w:rFonts w:ascii="Times New Roman" w:hAnsi="Times New Roman" w:cs="Times New Roman"/>
          <w:sz w:val="24"/>
          <w:szCs w:val="24"/>
        </w:rPr>
        <w:t>d and sold</w:t>
      </w:r>
      <w:r w:rsidR="0057035A" w:rsidRPr="0057035A">
        <w:rPr>
          <w:rFonts w:ascii="Times New Roman" w:hAnsi="Times New Roman" w:cs="Times New Roman"/>
          <w:sz w:val="24"/>
          <w:szCs w:val="24"/>
        </w:rPr>
        <w:t xml:space="preserve"> </w:t>
      </w:r>
      <w:r w:rsidR="00AE0BF1">
        <w:rPr>
          <w:rFonts w:ascii="Times New Roman" w:hAnsi="Times New Roman" w:cs="Times New Roman"/>
          <w:sz w:val="24"/>
          <w:szCs w:val="24"/>
        </w:rPr>
        <w:t xml:space="preserve">a </w:t>
      </w:r>
      <w:r w:rsidR="0057035A" w:rsidRPr="0057035A">
        <w:rPr>
          <w:rFonts w:ascii="Times New Roman" w:hAnsi="Times New Roman" w:cs="Times New Roman"/>
          <w:sz w:val="24"/>
          <w:szCs w:val="24"/>
        </w:rPr>
        <w:t>medical device</w:t>
      </w:r>
      <w:r w:rsidR="00AE0BF1">
        <w:rPr>
          <w:rFonts w:ascii="Times New Roman" w:hAnsi="Times New Roman" w:cs="Times New Roman"/>
          <w:sz w:val="24"/>
          <w:szCs w:val="24"/>
        </w:rPr>
        <w:t>, Onyx, that was</w:t>
      </w:r>
      <w:r w:rsidR="00933A7B">
        <w:rPr>
          <w:rFonts w:ascii="Times New Roman" w:hAnsi="Times New Roman" w:cs="Times New Roman"/>
          <w:sz w:val="24"/>
          <w:szCs w:val="24"/>
        </w:rPr>
        <w:t xml:space="preserve"> </w:t>
      </w:r>
      <w:r w:rsidR="00AE0BF1">
        <w:rPr>
          <w:rFonts w:ascii="Times New Roman" w:hAnsi="Times New Roman" w:cs="Times New Roman"/>
          <w:sz w:val="24"/>
          <w:szCs w:val="24"/>
        </w:rPr>
        <w:t xml:space="preserve">designed </w:t>
      </w:r>
      <w:r w:rsidR="00E9072B" w:rsidRPr="00E9072B">
        <w:rPr>
          <w:rFonts w:ascii="Times New Roman" w:hAnsi="Times New Roman" w:cs="Times New Roman"/>
          <w:sz w:val="24"/>
          <w:szCs w:val="24"/>
        </w:rPr>
        <w:t xml:space="preserve">to minimize blood loss to reduce the BAVM size prior to </w:t>
      </w:r>
      <w:r w:rsidR="00AE0BF1">
        <w:rPr>
          <w:rFonts w:ascii="Times New Roman" w:hAnsi="Times New Roman" w:cs="Times New Roman"/>
          <w:sz w:val="24"/>
          <w:szCs w:val="24"/>
        </w:rPr>
        <w:t xml:space="preserve">brain </w:t>
      </w:r>
      <w:r w:rsidR="00E9072B" w:rsidRPr="00E9072B">
        <w:rPr>
          <w:rFonts w:ascii="Times New Roman" w:hAnsi="Times New Roman" w:cs="Times New Roman"/>
          <w:sz w:val="24"/>
          <w:szCs w:val="24"/>
        </w:rPr>
        <w:t>surgery.</w:t>
      </w:r>
      <w:r w:rsidR="00AE0BF1">
        <w:rPr>
          <w:rFonts w:ascii="Times New Roman" w:hAnsi="Times New Roman" w:cs="Times New Roman"/>
          <w:sz w:val="24"/>
          <w:szCs w:val="24"/>
        </w:rPr>
        <w:t xml:space="preserve"> </w:t>
      </w:r>
      <w:r w:rsidR="00E9072B" w:rsidRPr="00E9072B">
        <w:rPr>
          <w:rFonts w:ascii="Times New Roman" w:hAnsi="Times New Roman" w:cs="Times New Roman"/>
          <w:sz w:val="24"/>
          <w:szCs w:val="24"/>
        </w:rPr>
        <w:t xml:space="preserve"> </w:t>
      </w:r>
      <w:r w:rsidR="009F3EB7">
        <w:rPr>
          <w:rFonts w:ascii="Times New Roman" w:hAnsi="Times New Roman" w:cs="Times New Roman"/>
          <w:i/>
          <w:sz w:val="24"/>
          <w:szCs w:val="24"/>
        </w:rPr>
        <w:t>D’Agostino,</w:t>
      </w:r>
      <w:r w:rsidR="009F3EB7">
        <w:rPr>
          <w:rFonts w:ascii="Times New Roman" w:hAnsi="Times New Roman" w:cs="Times New Roman"/>
          <w:sz w:val="24"/>
          <w:szCs w:val="24"/>
        </w:rPr>
        <w:t xml:space="preserve"> 845 F.3d at 4. In </w:t>
      </w:r>
      <w:r w:rsidR="00AE0BF1">
        <w:rPr>
          <w:rFonts w:ascii="Times New Roman" w:hAnsi="Times New Roman" w:cs="Times New Roman"/>
          <w:sz w:val="24"/>
          <w:szCs w:val="24"/>
        </w:rPr>
        <w:t>its</w:t>
      </w:r>
      <w:r w:rsidR="009F3EB7">
        <w:rPr>
          <w:rFonts w:ascii="Times New Roman" w:hAnsi="Times New Roman" w:cs="Times New Roman"/>
          <w:sz w:val="24"/>
          <w:szCs w:val="24"/>
        </w:rPr>
        <w:t xml:space="preserve"> application</w:t>
      </w:r>
      <w:r w:rsidR="00AE0BF1">
        <w:rPr>
          <w:rFonts w:ascii="Times New Roman" w:hAnsi="Times New Roman" w:cs="Times New Roman"/>
          <w:sz w:val="24"/>
          <w:szCs w:val="24"/>
        </w:rPr>
        <w:t xml:space="preserve"> to FDA for pre-market approval of Onyx</w:t>
      </w:r>
      <w:r w:rsidR="009F3EB7">
        <w:rPr>
          <w:rFonts w:ascii="Times New Roman" w:hAnsi="Times New Roman" w:cs="Times New Roman"/>
          <w:sz w:val="24"/>
          <w:szCs w:val="24"/>
        </w:rPr>
        <w:t>,</w:t>
      </w:r>
      <w:r w:rsidR="00E9072B" w:rsidRPr="00E9072B">
        <w:rPr>
          <w:rFonts w:ascii="Times New Roman" w:hAnsi="Times New Roman" w:cs="Times New Roman"/>
          <w:sz w:val="24"/>
          <w:szCs w:val="24"/>
        </w:rPr>
        <w:t xml:space="preserve"> MTI emphasized th</w:t>
      </w:r>
      <w:r w:rsidR="00AE0BF1">
        <w:rPr>
          <w:rFonts w:ascii="Times New Roman" w:hAnsi="Times New Roman" w:cs="Times New Roman"/>
          <w:sz w:val="24"/>
          <w:szCs w:val="24"/>
        </w:rPr>
        <w:t>at physicians would be required to undergo a</w:t>
      </w:r>
      <w:r w:rsidR="00E9072B" w:rsidRPr="00E9072B">
        <w:rPr>
          <w:rFonts w:ascii="Times New Roman" w:hAnsi="Times New Roman" w:cs="Times New Roman"/>
          <w:sz w:val="24"/>
          <w:szCs w:val="24"/>
        </w:rPr>
        <w:t xml:space="preserve"> rigorous training program</w:t>
      </w:r>
      <w:r w:rsidR="00AE0BF1">
        <w:rPr>
          <w:rFonts w:ascii="Times New Roman" w:hAnsi="Times New Roman" w:cs="Times New Roman"/>
          <w:sz w:val="24"/>
          <w:szCs w:val="24"/>
        </w:rPr>
        <w:t xml:space="preserve"> prior to using the device</w:t>
      </w:r>
      <w:r w:rsidR="00E9072B" w:rsidRPr="00E9072B">
        <w:rPr>
          <w:rFonts w:ascii="Times New Roman" w:hAnsi="Times New Roman" w:cs="Times New Roman"/>
          <w:sz w:val="24"/>
          <w:szCs w:val="24"/>
        </w:rPr>
        <w:t xml:space="preserve">. </w:t>
      </w:r>
      <w:r w:rsidR="00AE0BF1">
        <w:rPr>
          <w:rFonts w:ascii="Times New Roman" w:hAnsi="Times New Roman" w:cs="Times New Roman"/>
          <w:sz w:val="24"/>
          <w:szCs w:val="24"/>
        </w:rPr>
        <w:t xml:space="preserve"> FDA’s</w:t>
      </w:r>
      <w:r w:rsidR="009F3EB7">
        <w:rPr>
          <w:rFonts w:ascii="Times New Roman" w:hAnsi="Times New Roman" w:cs="Times New Roman"/>
          <w:sz w:val="24"/>
          <w:szCs w:val="24"/>
        </w:rPr>
        <w:t xml:space="preserve"> </w:t>
      </w:r>
      <w:r w:rsidR="00E9072B" w:rsidRPr="00E9072B">
        <w:rPr>
          <w:rFonts w:ascii="Times New Roman" w:hAnsi="Times New Roman" w:cs="Times New Roman"/>
          <w:sz w:val="24"/>
          <w:szCs w:val="24"/>
        </w:rPr>
        <w:t xml:space="preserve">advisory panel </w:t>
      </w:r>
      <w:r w:rsidR="00AE0BF1">
        <w:rPr>
          <w:rFonts w:ascii="Times New Roman" w:hAnsi="Times New Roman" w:cs="Times New Roman"/>
          <w:sz w:val="24"/>
          <w:szCs w:val="24"/>
        </w:rPr>
        <w:t>recommended approval of Onyx, but in doing so, it emphasized that</w:t>
      </w:r>
      <w:r w:rsidR="00E9072B" w:rsidRPr="00E9072B">
        <w:rPr>
          <w:rFonts w:ascii="Times New Roman" w:hAnsi="Times New Roman" w:cs="Times New Roman"/>
          <w:sz w:val="24"/>
          <w:szCs w:val="24"/>
        </w:rPr>
        <w:t xml:space="preserve"> these training requirements</w:t>
      </w:r>
      <w:r w:rsidR="009F3EB7">
        <w:rPr>
          <w:rFonts w:ascii="Times New Roman" w:hAnsi="Times New Roman" w:cs="Times New Roman"/>
          <w:sz w:val="24"/>
          <w:szCs w:val="24"/>
        </w:rPr>
        <w:t xml:space="preserve"> </w:t>
      </w:r>
      <w:r w:rsidR="00AE0BF1">
        <w:rPr>
          <w:rFonts w:ascii="Times New Roman" w:hAnsi="Times New Roman" w:cs="Times New Roman"/>
          <w:sz w:val="24"/>
          <w:szCs w:val="24"/>
        </w:rPr>
        <w:t xml:space="preserve">were </w:t>
      </w:r>
      <w:r w:rsidR="00933A7B">
        <w:rPr>
          <w:rFonts w:ascii="Times New Roman" w:hAnsi="Times New Roman" w:cs="Times New Roman"/>
          <w:sz w:val="24"/>
          <w:szCs w:val="24"/>
        </w:rPr>
        <w:t>“‘</w:t>
      </w:r>
      <w:r w:rsidR="00E9072B" w:rsidRPr="00E9072B">
        <w:rPr>
          <w:rFonts w:ascii="Times New Roman" w:hAnsi="Times New Roman" w:cs="Times New Roman"/>
          <w:sz w:val="24"/>
          <w:szCs w:val="24"/>
        </w:rPr>
        <w:t>critically important</w:t>
      </w:r>
      <w:r w:rsidR="00E45551">
        <w:rPr>
          <w:rFonts w:ascii="Times New Roman" w:hAnsi="Times New Roman" w:cs="Times New Roman"/>
          <w:sz w:val="24"/>
          <w:szCs w:val="24"/>
        </w:rPr>
        <w:t>’” and ‘</w:t>
      </w:r>
      <w:r w:rsidR="00E9072B" w:rsidRPr="00E9072B">
        <w:rPr>
          <w:rFonts w:ascii="Times New Roman" w:hAnsi="Times New Roman" w:cs="Times New Roman"/>
          <w:sz w:val="24"/>
          <w:szCs w:val="24"/>
        </w:rPr>
        <w:t>a very big component of getting [Onyx] into safe use.</w:t>
      </w:r>
      <w:r w:rsidR="00E45551">
        <w:rPr>
          <w:rFonts w:ascii="Times New Roman" w:hAnsi="Times New Roman" w:cs="Times New Roman"/>
          <w:sz w:val="24"/>
          <w:szCs w:val="24"/>
        </w:rPr>
        <w:t>’</w:t>
      </w:r>
      <w:r w:rsidR="00E9072B" w:rsidRPr="00E9072B">
        <w:rPr>
          <w:rFonts w:ascii="Times New Roman" w:hAnsi="Times New Roman" w:cs="Times New Roman"/>
          <w:sz w:val="24"/>
          <w:szCs w:val="24"/>
        </w:rPr>
        <w:t>”</w:t>
      </w:r>
      <w:r w:rsidR="009F3EB7">
        <w:rPr>
          <w:rFonts w:ascii="Times New Roman" w:hAnsi="Times New Roman" w:cs="Times New Roman"/>
          <w:sz w:val="24"/>
          <w:szCs w:val="24"/>
        </w:rPr>
        <w:t xml:space="preserve"> </w:t>
      </w:r>
      <w:r w:rsidR="009F3EB7">
        <w:rPr>
          <w:rFonts w:ascii="Times New Roman" w:hAnsi="Times New Roman" w:cs="Times New Roman"/>
          <w:i/>
          <w:sz w:val="24"/>
          <w:szCs w:val="24"/>
        </w:rPr>
        <w:t xml:space="preserve">Id. </w:t>
      </w:r>
      <w:r w:rsidR="00E45551">
        <w:rPr>
          <w:rFonts w:ascii="Times New Roman" w:hAnsi="Times New Roman" w:cs="Times New Roman"/>
          <w:sz w:val="24"/>
          <w:szCs w:val="24"/>
        </w:rPr>
        <w:t xml:space="preserve">(citation omitted). </w:t>
      </w:r>
      <w:r w:rsidR="00611AA5">
        <w:rPr>
          <w:rFonts w:ascii="Times New Roman" w:hAnsi="Times New Roman" w:cs="Times New Roman"/>
          <w:sz w:val="24"/>
          <w:szCs w:val="24"/>
        </w:rPr>
        <w:t xml:space="preserve"> </w:t>
      </w:r>
      <w:r w:rsidR="009F3EB7">
        <w:rPr>
          <w:rFonts w:ascii="Times New Roman" w:hAnsi="Times New Roman" w:cs="Times New Roman"/>
          <w:sz w:val="24"/>
          <w:szCs w:val="24"/>
        </w:rPr>
        <w:t xml:space="preserve">The FDA granted approval to Onyx in July 2005, but the label restricted use to </w:t>
      </w:r>
      <w:r w:rsidR="00E45551">
        <w:rPr>
          <w:rFonts w:ascii="Times New Roman" w:hAnsi="Times New Roman" w:cs="Times New Roman"/>
          <w:sz w:val="24"/>
          <w:szCs w:val="24"/>
        </w:rPr>
        <w:t>“’</w:t>
      </w:r>
      <w:r w:rsidR="009F3EB7" w:rsidRPr="009F3EB7">
        <w:rPr>
          <w:rFonts w:ascii="Times New Roman" w:hAnsi="Times New Roman" w:cs="Times New Roman"/>
          <w:sz w:val="24"/>
          <w:szCs w:val="24"/>
        </w:rPr>
        <w:t>physicians with neurointerventional training and a thorough knowledge of the pathology to be treated, angiographic techniques, and super-selective embolization.</w:t>
      </w:r>
      <w:r w:rsidR="00E45551">
        <w:rPr>
          <w:rFonts w:ascii="Times New Roman" w:hAnsi="Times New Roman" w:cs="Times New Roman"/>
          <w:sz w:val="24"/>
          <w:szCs w:val="24"/>
        </w:rPr>
        <w:t>’</w:t>
      </w:r>
      <w:r w:rsidR="009F3EB7" w:rsidRPr="009F3EB7">
        <w:rPr>
          <w:rFonts w:ascii="Times New Roman" w:hAnsi="Times New Roman" w:cs="Times New Roman"/>
          <w:sz w:val="24"/>
          <w:szCs w:val="24"/>
        </w:rPr>
        <w:t>”</w:t>
      </w:r>
      <w:r w:rsidR="009F3EB7">
        <w:rPr>
          <w:rFonts w:ascii="Times New Roman" w:hAnsi="Times New Roman" w:cs="Times New Roman"/>
          <w:sz w:val="24"/>
          <w:szCs w:val="24"/>
        </w:rPr>
        <w:t xml:space="preserve"> </w:t>
      </w:r>
      <w:r w:rsidR="009F3EB7">
        <w:rPr>
          <w:rFonts w:ascii="Times New Roman" w:hAnsi="Times New Roman" w:cs="Times New Roman"/>
          <w:i/>
          <w:sz w:val="24"/>
          <w:szCs w:val="24"/>
        </w:rPr>
        <w:t>Id.</w:t>
      </w:r>
      <w:r w:rsidR="00E45551">
        <w:rPr>
          <w:rFonts w:ascii="Times New Roman" w:hAnsi="Times New Roman" w:cs="Times New Roman"/>
          <w:i/>
          <w:sz w:val="24"/>
          <w:szCs w:val="24"/>
        </w:rPr>
        <w:t xml:space="preserve"> </w:t>
      </w:r>
      <w:r w:rsidR="00E45551">
        <w:rPr>
          <w:rFonts w:ascii="Times New Roman" w:hAnsi="Times New Roman" w:cs="Times New Roman"/>
          <w:sz w:val="24"/>
          <w:szCs w:val="24"/>
        </w:rPr>
        <w:t xml:space="preserve">(citation omitted). </w:t>
      </w:r>
    </w:p>
    <w:p w:rsidR="00702A93" w:rsidRDefault="00791F60" w:rsidP="00791F60">
      <w:pPr>
        <w:spacing w:line="480" w:lineRule="auto"/>
        <w:rPr>
          <w:rFonts w:ascii="Times New Roman" w:hAnsi="Times New Roman" w:cs="Times New Roman"/>
          <w:sz w:val="24"/>
          <w:szCs w:val="24"/>
        </w:rPr>
      </w:pPr>
      <w:r>
        <w:rPr>
          <w:rFonts w:ascii="Times New Roman" w:hAnsi="Times New Roman" w:cs="Times New Roman"/>
          <w:sz w:val="24"/>
          <w:szCs w:val="24"/>
        </w:rPr>
        <w:tab/>
      </w:r>
      <w:r w:rsidR="00F32753">
        <w:rPr>
          <w:rFonts w:ascii="Times New Roman" w:hAnsi="Times New Roman" w:cs="Times New Roman"/>
          <w:sz w:val="24"/>
          <w:szCs w:val="24"/>
        </w:rPr>
        <w:t xml:space="preserve">D'Agostino was hired as </w:t>
      </w:r>
      <w:r>
        <w:rPr>
          <w:rFonts w:ascii="Times New Roman" w:hAnsi="Times New Roman" w:cs="Times New Roman"/>
          <w:sz w:val="24"/>
          <w:szCs w:val="24"/>
        </w:rPr>
        <w:t xml:space="preserve">an ev3 sales representative </w:t>
      </w:r>
      <w:r w:rsidR="00F32753">
        <w:rPr>
          <w:rFonts w:ascii="Times New Roman" w:hAnsi="Times New Roman" w:cs="Times New Roman"/>
          <w:sz w:val="24"/>
          <w:szCs w:val="24"/>
        </w:rPr>
        <w:t>in</w:t>
      </w:r>
      <w:r>
        <w:rPr>
          <w:rFonts w:ascii="Times New Roman" w:hAnsi="Times New Roman" w:cs="Times New Roman"/>
          <w:sz w:val="24"/>
          <w:szCs w:val="24"/>
        </w:rPr>
        <w:t xml:space="preserve"> </w:t>
      </w:r>
      <w:r w:rsidR="00E45551">
        <w:rPr>
          <w:rFonts w:ascii="Times New Roman" w:hAnsi="Times New Roman" w:cs="Times New Roman"/>
          <w:sz w:val="24"/>
          <w:szCs w:val="24"/>
        </w:rPr>
        <w:t xml:space="preserve">January </w:t>
      </w:r>
      <w:r>
        <w:rPr>
          <w:rFonts w:ascii="Times New Roman" w:hAnsi="Times New Roman" w:cs="Times New Roman"/>
          <w:sz w:val="24"/>
          <w:szCs w:val="24"/>
        </w:rPr>
        <w:t xml:space="preserve">2005 until </w:t>
      </w:r>
      <w:r w:rsidR="00F32753">
        <w:rPr>
          <w:rFonts w:ascii="Times New Roman" w:hAnsi="Times New Roman" w:cs="Times New Roman"/>
          <w:sz w:val="24"/>
          <w:szCs w:val="24"/>
        </w:rPr>
        <w:t xml:space="preserve">his termination in </w:t>
      </w:r>
      <w:r w:rsidR="00E45551">
        <w:rPr>
          <w:rFonts w:ascii="Times New Roman" w:hAnsi="Times New Roman" w:cs="Times New Roman"/>
          <w:sz w:val="24"/>
          <w:szCs w:val="24"/>
        </w:rPr>
        <w:t xml:space="preserve">January </w:t>
      </w:r>
      <w:r w:rsidR="00F32753">
        <w:rPr>
          <w:rFonts w:ascii="Times New Roman" w:hAnsi="Times New Roman" w:cs="Times New Roman"/>
          <w:sz w:val="24"/>
          <w:szCs w:val="24"/>
        </w:rPr>
        <w:t>2010. He</w:t>
      </w:r>
      <w:r>
        <w:rPr>
          <w:rFonts w:ascii="Times New Roman" w:hAnsi="Times New Roman" w:cs="Times New Roman"/>
          <w:sz w:val="24"/>
          <w:szCs w:val="24"/>
        </w:rPr>
        <w:t xml:space="preserve"> claimed that</w:t>
      </w:r>
      <w:r w:rsidR="00611AA5">
        <w:rPr>
          <w:rFonts w:ascii="Times New Roman" w:hAnsi="Times New Roman" w:cs="Times New Roman"/>
          <w:sz w:val="24"/>
          <w:szCs w:val="24"/>
        </w:rPr>
        <w:t>, contrary to MTI’s representations that it would require physicians to undergo extensive training prior to using Onyx,</w:t>
      </w:r>
      <w:r>
        <w:rPr>
          <w:rFonts w:ascii="Times New Roman" w:hAnsi="Times New Roman" w:cs="Times New Roman"/>
          <w:sz w:val="24"/>
          <w:szCs w:val="24"/>
        </w:rPr>
        <w:t xml:space="preserve"> the </w:t>
      </w:r>
      <w:r w:rsidR="00933A7B">
        <w:rPr>
          <w:rFonts w:ascii="Times New Roman" w:hAnsi="Times New Roman" w:cs="Times New Roman"/>
          <w:sz w:val="24"/>
          <w:szCs w:val="24"/>
        </w:rPr>
        <w:t>FDA-</w:t>
      </w:r>
      <w:r w:rsidR="00F32753">
        <w:rPr>
          <w:rFonts w:ascii="Times New Roman" w:hAnsi="Times New Roman" w:cs="Times New Roman"/>
          <w:sz w:val="24"/>
          <w:szCs w:val="24"/>
        </w:rPr>
        <w:t xml:space="preserve">mandated </w:t>
      </w:r>
      <w:r>
        <w:rPr>
          <w:rFonts w:ascii="Times New Roman" w:hAnsi="Times New Roman" w:cs="Times New Roman"/>
          <w:sz w:val="24"/>
          <w:szCs w:val="24"/>
        </w:rPr>
        <w:t xml:space="preserve">physician trainings for Onyx were as </w:t>
      </w:r>
      <w:r w:rsidR="00F32753">
        <w:rPr>
          <w:rFonts w:ascii="Times New Roman" w:hAnsi="Times New Roman" w:cs="Times New Roman"/>
          <w:sz w:val="24"/>
          <w:szCs w:val="24"/>
        </w:rPr>
        <w:t>short</w:t>
      </w:r>
      <w:r>
        <w:rPr>
          <w:rFonts w:ascii="Times New Roman" w:hAnsi="Times New Roman" w:cs="Times New Roman"/>
          <w:sz w:val="24"/>
          <w:szCs w:val="24"/>
        </w:rPr>
        <w:t xml:space="preserve"> as four hours long and</w:t>
      </w:r>
      <w:r w:rsidR="006B33B5">
        <w:rPr>
          <w:rFonts w:ascii="Times New Roman" w:hAnsi="Times New Roman" w:cs="Times New Roman"/>
          <w:sz w:val="24"/>
          <w:szCs w:val="24"/>
        </w:rPr>
        <w:t xml:space="preserve"> discussed</w:t>
      </w:r>
      <w:r>
        <w:rPr>
          <w:rFonts w:ascii="Times New Roman" w:hAnsi="Times New Roman" w:cs="Times New Roman"/>
          <w:sz w:val="24"/>
          <w:szCs w:val="24"/>
        </w:rPr>
        <w:t xml:space="preserve"> </w:t>
      </w:r>
      <w:r w:rsidR="00F32753">
        <w:rPr>
          <w:rFonts w:ascii="Times New Roman" w:hAnsi="Times New Roman" w:cs="Times New Roman"/>
          <w:sz w:val="24"/>
          <w:szCs w:val="24"/>
        </w:rPr>
        <w:t xml:space="preserve">surgeries that used off-label </w:t>
      </w:r>
      <w:r>
        <w:rPr>
          <w:rFonts w:ascii="Times New Roman" w:hAnsi="Times New Roman" w:cs="Times New Roman"/>
          <w:sz w:val="24"/>
          <w:szCs w:val="24"/>
        </w:rPr>
        <w:t>procedures</w:t>
      </w:r>
      <w:r w:rsidR="006B33B5">
        <w:rPr>
          <w:rFonts w:ascii="Times New Roman" w:hAnsi="Times New Roman" w:cs="Times New Roman"/>
          <w:sz w:val="24"/>
          <w:szCs w:val="24"/>
        </w:rPr>
        <w:t xml:space="preserve">, </w:t>
      </w:r>
      <w:r w:rsidR="00611AA5">
        <w:rPr>
          <w:rFonts w:ascii="Times New Roman" w:hAnsi="Times New Roman" w:cs="Times New Roman"/>
          <w:sz w:val="24"/>
          <w:szCs w:val="24"/>
        </w:rPr>
        <w:t xml:space="preserve">and the company would sell </w:t>
      </w:r>
      <w:r w:rsidR="00F32753" w:rsidRPr="00F32753">
        <w:rPr>
          <w:rFonts w:ascii="Times New Roman" w:hAnsi="Times New Roman" w:cs="Times New Roman"/>
          <w:sz w:val="24"/>
          <w:szCs w:val="24"/>
        </w:rPr>
        <w:t xml:space="preserve">Onyx to any site where a single neurosurgeon who had completed their training. </w:t>
      </w:r>
      <w:r w:rsidR="00611AA5">
        <w:rPr>
          <w:rFonts w:ascii="Times New Roman" w:hAnsi="Times New Roman" w:cs="Times New Roman"/>
          <w:sz w:val="24"/>
          <w:szCs w:val="24"/>
        </w:rPr>
        <w:t xml:space="preserve"> </w:t>
      </w:r>
      <w:r w:rsidR="00F32753" w:rsidRPr="00F32753">
        <w:rPr>
          <w:rFonts w:ascii="Times New Roman" w:hAnsi="Times New Roman" w:cs="Times New Roman"/>
          <w:sz w:val="24"/>
          <w:szCs w:val="24"/>
        </w:rPr>
        <w:t xml:space="preserve">As a result, </w:t>
      </w:r>
      <w:r w:rsidR="006B33B5">
        <w:rPr>
          <w:rFonts w:ascii="Times New Roman" w:hAnsi="Times New Roman" w:cs="Times New Roman"/>
          <w:sz w:val="24"/>
          <w:szCs w:val="24"/>
        </w:rPr>
        <w:t xml:space="preserve">D’Agostino </w:t>
      </w:r>
      <w:r w:rsidR="00611AA5">
        <w:rPr>
          <w:rFonts w:ascii="Times New Roman" w:hAnsi="Times New Roman" w:cs="Times New Roman"/>
          <w:sz w:val="24"/>
          <w:szCs w:val="24"/>
        </w:rPr>
        <w:t>alleged,</w:t>
      </w:r>
      <w:r w:rsidR="006B33B5">
        <w:rPr>
          <w:rFonts w:ascii="Times New Roman" w:hAnsi="Times New Roman" w:cs="Times New Roman"/>
          <w:sz w:val="24"/>
          <w:szCs w:val="24"/>
        </w:rPr>
        <w:t xml:space="preserve"> physicians “</w:t>
      </w:r>
      <w:r w:rsidR="00F32753" w:rsidRPr="00F32753">
        <w:rPr>
          <w:rFonts w:ascii="Times New Roman" w:hAnsi="Times New Roman" w:cs="Times New Roman"/>
          <w:sz w:val="24"/>
          <w:szCs w:val="24"/>
        </w:rPr>
        <w:t>with inadequate training or no training at all</w:t>
      </w:r>
      <w:r w:rsidR="006B33B5">
        <w:rPr>
          <w:rFonts w:ascii="Times New Roman" w:hAnsi="Times New Roman" w:cs="Times New Roman"/>
          <w:sz w:val="24"/>
          <w:szCs w:val="24"/>
        </w:rPr>
        <w:t>” were using Onyx</w:t>
      </w:r>
      <w:r w:rsidR="00933A7B">
        <w:rPr>
          <w:rFonts w:ascii="Times New Roman" w:hAnsi="Times New Roman" w:cs="Times New Roman"/>
          <w:sz w:val="24"/>
          <w:szCs w:val="24"/>
        </w:rPr>
        <w:t>, in violation of the FDA-approved label</w:t>
      </w:r>
      <w:r w:rsidR="00F32753" w:rsidRPr="00F32753">
        <w:rPr>
          <w:rFonts w:ascii="Times New Roman" w:hAnsi="Times New Roman" w:cs="Times New Roman"/>
          <w:sz w:val="24"/>
          <w:szCs w:val="24"/>
        </w:rPr>
        <w:t>.</w:t>
      </w:r>
      <w:r w:rsidR="006B33B5">
        <w:rPr>
          <w:rFonts w:ascii="Times New Roman" w:hAnsi="Times New Roman" w:cs="Times New Roman"/>
          <w:sz w:val="24"/>
          <w:szCs w:val="24"/>
        </w:rPr>
        <w:t xml:space="preserve"> </w:t>
      </w:r>
      <w:r w:rsidR="006B33B5">
        <w:rPr>
          <w:rFonts w:ascii="Times New Roman" w:hAnsi="Times New Roman" w:cs="Times New Roman"/>
          <w:i/>
          <w:sz w:val="24"/>
          <w:szCs w:val="24"/>
        </w:rPr>
        <w:t>Id.</w:t>
      </w:r>
      <w:r w:rsidR="00F32753" w:rsidRPr="00F32753">
        <w:rPr>
          <w:rFonts w:ascii="Times New Roman" w:hAnsi="Times New Roman" w:cs="Times New Roman"/>
          <w:sz w:val="24"/>
          <w:szCs w:val="24"/>
        </w:rPr>
        <w:t xml:space="preserve"> </w:t>
      </w:r>
      <w:r w:rsidR="00611AA5">
        <w:rPr>
          <w:rFonts w:ascii="Times New Roman" w:hAnsi="Times New Roman" w:cs="Times New Roman"/>
          <w:sz w:val="24"/>
          <w:szCs w:val="24"/>
        </w:rPr>
        <w:t xml:space="preserve"> D’Agostino also</w:t>
      </w:r>
      <w:r w:rsidR="006B33B5">
        <w:rPr>
          <w:rFonts w:ascii="Times New Roman" w:hAnsi="Times New Roman" w:cs="Times New Roman"/>
          <w:sz w:val="24"/>
          <w:szCs w:val="24"/>
        </w:rPr>
        <w:t xml:space="preserve"> contend</w:t>
      </w:r>
      <w:r w:rsidR="00611AA5">
        <w:rPr>
          <w:rFonts w:ascii="Times New Roman" w:hAnsi="Times New Roman" w:cs="Times New Roman"/>
          <w:sz w:val="24"/>
          <w:szCs w:val="24"/>
        </w:rPr>
        <w:t>ed</w:t>
      </w:r>
      <w:r w:rsidR="006B33B5">
        <w:rPr>
          <w:rFonts w:ascii="Times New Roman" w:hAnsi="Times New Roman" w:cs="Times New Roman"/>
          <w:sz w:val="24"/>
          <w:szCs w:val="24"/>
        </w:rPr>
        <w:t xml:space="preserve"> that </w:t>
      </w:r>
      <w:r w:rsidR="00F32753" w:rsidRPr="00F32753">
        <w:rPr>
          <w:rFonts w:ascii="Times New Roman" w:hAnsi="Times New Roman" w:cs="Times New Roman"/>
          <w:sz w:val="24"/>
          <w:szCs w:val="24"/>
        </w:rPr>
        <w:t>the defendants encouraged off-label ma</w:t>
      </w:r>
      <w:r w:rsidR="006B33B5">
        <w:rPr>
          <w:rFonts w:ascii="Times New Roman" w:hAnsi="Times New Roman" w:cs="Times New Roman"/>
          <w:sz w:val="24"/>
          <w:szCs w:val="24"/>
        </w:rPr>
        <w:t xml:space="preserve">rketing by setting sales quotas, </w:t>
      </w:r>
      <w:r w:rsidR="00933A7B">
        <w:rPr>
          <w:rFonts w:ascii="Times New Roman" w:hAnsi="Times New Roman" w:cs="Times New Roman"/>
          <w:sz w:val="24"/>
          <w:szCs w:val="24"/>
        </w:rPr>
        <w:t>educating on “‘</w:t>
      </w:r>
      <w:r w:rsidR="00F32753" w:rsidRPr="00F32753">
        <w:rPr>
          <w:rFonts w:ascii="Times New Roman" w:hAnsi="Times New Roman" w:cs="Times New Roman"/>
          <w:sz w:val="24"/>
          <w:szCs w:val="24"/>
        </w:rPr>
        <w:t>peripheral applications,</w:t>
      </w:r>
      <w:r w:rsidR="006B33B5">
        <w:rPr>
          <w:rFonts w:ascii="Times New Roman" w:hAnsi="Times New Roman" w:cs="Times New Roman"/>
          <w:sz w:val="24"/>
          <w:szCs w:val="24"/>
        </w:rPr>
        <w:t>’” and</w:t>
      </w:r>
      <w:r w:rsidR="00F32753" w:rsidRPr="00F32753">
        <w:rPr>
          <w:rFonts w:ascii="Times New Roman" w:hAnsi="Times New Roman" w:cs="Times New Roman"/>
          <w:sz w:val="24"/>
          <w:szCs w:val="24"/>
        </w:rPr>
        <w:t xml:space="preserve"> training physicians during paid retreats.</w:t>
      </w:r>
      <w:r w:rsidR="006B33B5">
        <w:rPr>
          <w:rFonts w:ascii="Times New Roman" w:hAnsi="Times New Roman" w:cs="Times New Roman"/>
          <w:sz w:val="24"/>
          <w:szCs w:val="24"/>
        </w:rPr>
        <w:t xml:space="preserve"> </w:t>
      </w:r>
      <w:r w:rsidR="006B33B5">
        <w:rPr>
          <w:rFonts w:ascii="Times New Roman" w:hAnsi="Times New Roman" w:cs="Times New Roman"/>
          <w:i/>
          <w:sz w:val="24"/>
          <w:szCs w:val="24"/>
        </w:rPr>
        <w:t xml:space="preserve">Id. </w:t>
      </w:r>
      <w:r w:rsidR="006B33B5">
        <w:rPr>
          <w:rFonts w:ascii="Times New Roman" w:hAnsi="Times New Roman" w:cs="Times New Roman"/>
          <w:sz w:val="24"/>
          <w:szCs w:val="24"/>
        </w:rPr>
        <w:t>(citation omitted).</w:t>
      </w:r>
      <w:r w:rsidR="00F32753" w:rsidRPr="00F32753">
        <w:rPr>
          <w:rFonts w:ascii="Times New Roman" w:hAnsi="Times New Roman" w:cs="Times New Roman"/>
          <w:sz w:val="24"/>
          <w:szCs w:val="24"/>
        </w:rPr>
        <w:t xml:space="preserve"> </w:t>
      </w:r>
    </w:p>
    <w:p w:rsidR="00F32753" w:rsidRDefault="00702A93" w:rsidP="00702A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Ev3 launched </w:t>
      </w:r>
      <w:r w:rsidR="00611AA5">
        <w:rPr>
          <w:rFonts w:ascii="Times New Roman" w:hAnsi="Times New Roman" w:cs="Times New Roman"/>
          <w:sz w:val="24"/>
          <w:szCs w:val="24"/>
        </w:rPr>
        <w:t xml:space="preserve">another product, </w:t>
      </w:r>
      <w:r>
        <w:rPr>
          <w:rFonts w:ascii="Times New Roman" w:hAnsi="Times New Roman" w:cs="Times New Roman"/>
          <w:sz w:val="24"/>
          <w:szCs w:val="24"/>
        </w:rPr>
        <w:t>Axium</w:t>
      </w:r>
      <w:r w:rsidR="00611AA5">
        <w:rPr>
          <w:rFonts w:ascii="Times New Roman" w:hAnsi="Times New Roman" w:cs="Times New Roman"/>
          <w:sz w:val="24"/>
          <w:szCs w:val="24"/>
        </w:rPr>
        <w:t>,</w:t>
      </w:r>
      <w:r>
        <w:rPr>
          <w:rFonts w:ascii="Times New Roman" w:hAnsi="Times New Roman" w:cs="Times New Roman"/>
          <w:sz w:val="24"/>
          <w:szCs w:val="24"/>
        </w:rPr>
        <w:t xml:space="preserve"> in 2007 a</w:t>
      </w:r>
      <w:r w:rsidR="00611AA5">
        <w:rPr>
          <w:rFonts w:ascii="Times New Roman" w:hAnsi="Times New Roman" w:cs="Times New Roman"/>
          <w:sz w:val="24"/>
          <w:szCs w:val="24"/>
        </w:rPr>
        <w:t>fter</w:t>
      </w:r>
      <w:r>
        <w:rPr>
          <w:rFonts w:ascii="Times New Roman" w:hAnsi="Times New Roman" w:cs="Times New Roman"/>
          <w:sz w:val="24"/>
          <w:szCs w:val="24"/>
        </w:rPr>
        <w:t xml:space="preserve"> </w:t>
      </w:r>
      <w:r w:rsidRPr="00E45551">
        <w:rPr>
          <w:rFonts w:ascii="Times New Roman" w:hAnsi="Times New Roman" w:cs="Times New Roman"/>
          <w:sz w:val="24"/>
          <w:szCs w:val="24"/>
        </w:rPr>
        <w:t xml:space="preserve">clinical trials </w:t>
      </w:r>
      <w:r>
        <w:rPr>
          <w:rFonts w:ascii="Times New Roman" w:hAnsi="Times New Roman" w:cs="Times New Roman"/>
          <w:sz w:val="24"/>
          <w:szCs w:val="24"/>
        </w:rPr>
        <w:t>indicated</w:t>
      </w:r>
      <w:r w:rsidRPr="00E45551">
        <w:rPr>
          <w:rFonts w:ascii="Times New Roman" w:hAnsi="Times New Roman" w:cs="Times New Roman"/>
          <w:sz w:val="24"/>
          <w:szCs w:val="24"/>
        </w:rPr>
        <w:t xml:space="preserve"> numerous </w:t>
      </w:r>
      <w:r w:rsidR="00611AA5">
        <w:rPr>
          <w:rFonts w:ascii="Times New Roman" w:hAnsi="Times New Roman" w:cs="Times New Roman"/>
          <w:sz w:val="24"/>
          <w:szCs w:val="24"/>
        </w:rPr>
        <w:t xml:space="preserve">problems </w:t>
      </w:r>
      <w:r>
        <w:rPr>
          <w:rFonts w:ascii="Times New Roman" w:hAnsi="Times New Roman" w:cs="Times New Roman"/>
          <w:sz w:val="24"/>
          <w:szCs w:val="24"/>
        </w:rPr>
        <w:t>with Onyx in treating aneurysms. The</w:t>
      </w:r>
      <w:r w:rsidRPr="00E45551">
        <w:rPr>
          <w:rFonts w:ascii="Times New Roman" w:hAnsi="Times New Roman" w:cs="Times New Roman"/>
          <w:sz w:val="24"/>
          <w:szCs w:val="24"/>
        </w:rPr>
        <w:t xml:space="preserve"> defendants redesigned the device several times in response to </w:t>
      </w:r>
      <w:r>
        <w:rPr>
          <w:rFonts w:ascii="Times New Roman" w:hAnsi="Times New Roman" w:cs="Times New Roman"/>
          <w:sz w:val="24"/>
          <w:szCs w:val="24"/>
        </w:rPr>
        <w:t xml:space="preserve">persistent malfunction reports, but </w:t>
      </w:r>
      <w:r w:rsidR="00611AA5">
        <w:rPr>
          <w:rFonts w:ascii="Times New Roman" w:hAnsi="Times New Roman" w:cs="Times New Roman"/>
          <w:sz w:val="24"/>
          <w:szCs w:val="24"/>
        </w:rPr>
        <w:t xml:space="preserve">they </w:t>
      </w:r>
      <w:r>
        <w:rPr>
          <w:rFonts w:ascii="Times New Roman" w:hAnsi="Times New Roman" w:cs="Times New Roman"/>
          <w:sz w:val="24"/>
          <w:szCs w:val="24"/>
        </w:rPr>
        <w:t>did not</w:t>
      </w:r>
      <w:r w:rsidRPr="00E45551">
        <w:rPr>
          <w:rFonts w:ascii="Times New Roman" w:hAnsi="Times New Roman" w:cs="Times New Roman"/>
          <w:sz w:val="24"/>
          <w:szCs w:val="24"/>
        </w:rPr>
        <w:t xml:space="preserve"> recall</w:t>
      </w:r>
      <w:r>
        <w:rPr>
          <w:rFonts w:ascii="Times New Roman" w:hAnsi="Times New Roman" w:cs="Times New Roman"/>
          <w:sz w:val="24"/>
          <w:szCs w:val="24"/>
        </w:rPr>
        <w:t xml:space="preserve"> or relabel</w:t>
      </w:r>
      <w:r w:rsidRPr="00E45551">
        <w:rPr>
          <w:rFonts w:ascii="Times New Roman" w:hAnsi="Times New Roman" w:cs="Times New Roman"/>
          <w:sz w:val="24"/>
          <w:szCs w:val="24"/>
        </w:rPr>
        <w:t xml:space="preserve"> earlier </w:t>
      </w:r>
      <w:r>
        <w:rPr>
          <w:rFonts w:ascii="Times New Roman" w:hAnsi="Times New Roman" w:cs="Times New Roman"/>
          <w:sz w:val="24"/>
          <w:szCs w:val="24"/>
        </w:rPr>
        <w:t>models</w:t>
      </w:r>
      <w:r w:rsidRPr="00E45551">
        <w:rPr>
          <w:rFonts w:ascii="Times New Roman" w:hAnsi="Times New Roman" w:cs="Times New Roman"/>
          <w:sz w:val="24"/>
          <w:szCs w:val="24"/>
        </w:rPr>
        <w:t xml:space="preserve">. D'Agostino attended a February 2009 meeting where </w:t>
      </w:r>
      <w:r>
        <w:rPr>
          <w:rFonts w:ascii="Times New Roman" w:hAnsi="Times New Roman" w:cs="Times New Roman"/>
          <w:sz w:val="24"/>
          <w:szCs w:val="24"/>
        </w:rPr>
        <w:t>organization leaders</w:t>
      </w:r>
      <w:r w:rsidRPr="00E45551">
        <w:rPr>
          <w:rFonts w:ascii="Times New Roman" w:hAnsi="Times New Roman" w:cs="Times New Roman"/>
          <w:sz w:val="24"/>
          <w:szCs w:val="24"/>
        </w:rPr>
        <w:t xml:space="preserve"> </w:t>
      </w:r>
      <w:r>
        <w:rPr>
          <w:rFonts w:ascii="Times New Roman" w:hAnsi="Times New Roman" w:cs="Times New Roman"/>
          <w:sz w:val="24"/>
          <w:szCs w:val="24"/>
        </w:rPr>
        <w:t>urged</w:t>
      </w:r>
      <w:r w:rsidRPr="00E45551">
        <w:rPr>
          <w:rFonts w:ascii="Times New Roman" w:hAnsi="Times New Roman" w:cs="Times New Roman"/>
          <w:sz w:val="24"/>
          <w:szCs w:val="24"/>
        </w:rPr>
        <w:t xml:space="preserve"> the sales force to </w:t>
      </w:r>
      <w:r>
        <w:rPr>
          <w:rFonts w:ascii="Times New Roman" w:hAnsi="Times New Roman" w:cs="Times New Roman"/>
          <w:sz w:val="24"/>
          <w:szCs w:val="24"/>
        </w:rPr>
        <w:t>ignore</w:t>
      </w:r>
      <w:r w:rsidRPr="00E45551">
        <w:rPr>
          <w:rFonts w:ascii="Times New Roman" w:hAnsi="Times New Roman" w:cs="Times New Roman"/>
          <w:sz w:val="24"/>
          <w:szCs w:val="24"/>
        </w:rPr>
        <w:t xml:space="preserve"> </w:t>
      </w:r>
      <w:r>
        <w:rPr>
          <w:rFonts w:ascii="Times New Roman" w:hAnsi="Times New Roman" w:cs="Times New Roman"/>
          <w:sz w:val="24"/>
          <w:szCs w:val="24"/>
        </w:rPr>
        <w:t xml:space="preserve">these and other </w:t>
      </w:r>
      <w:r w:rsidRPr="00E45551">
        <w:rPr>
          <w:rFonts w:ascii="Times New Roman" w:hAnsi="Times New Roman" w:cs="Times New Roman"/>
          <w:sz w:val="24"/>
          <w:szCs w:val="24"/>
        </w:rPr>
        <w:t xml:space="preserve">defects </w:t>
      </w:r>
      <w:r>
        <w:rPr>
          <w:rFonts w:ascii="Times New Roman" w:hAnsi="Times New Roman" w:cs="Times New Roman"/>
          <w:sz w:val="24"/>
          <w:szCs w:val="24"/>
        </w:rPr>
        <w:t>in order to avoid FDA inspection.</w:t>
      </w:r>
    </w:p>
    <w:p w:rsidR="00702A93" w:rsidRPr="00702A93" w:rsidRDefault="00702A93" w:rsidP="00D467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Approximately one year after the February 2009 meeting, ev3 terminated D’Agostino’s employment. </w:t>
      </w:r>
      <w:r w:rsidRPr="00702A93">
        <w:rPr>
          <w:rFonts w:ascii="Times New Roman" w:hAnsi="Times New Roman" w:cs="Times New Roman"/>
          <w:sz w:val="24"/>
          <w:szCs w:val="24"/>
        </w:rPr>
        <w:t xml:space="preserve">In October 2010, he </w:t>
      </w:r>
      <w:r w:rsidR="00611AA5">
        <w:rPr>
          <w:rFonts w:ascii="Times New Roman" w:hAnsi="Times New Roman" w:cs="Times New Roman"/>
          <w:sz w:val="24"/>
          <w:szCs w:val="24"/>
        </w:rPr>
        <w:t>filed a</w:t>
      </w:r>
      <w:r w:rsidRPr="00702A93">
        <w:rPr>
          <w:rFonts w:ascii="Times New Roman" w:hAnsi="Times New Roman" w:cs="Times New Roman"/>
          <w:sz w:val="24"/>
          <w:szCs w:val="24"/>
        </w:rPr>
        <w:t xml:space="preserve"> </w:t>
      </w:r>
      <w:r w:rsidRPr="00702A93">
        <w:rPr>
          <w:rFonts w:ascii="Times New Roman" w:hAnsi="Times New Roman" w:cs="Times New Roman"/>
          <w:i/>
          <w:sz w:val="24"/>
          <w:szCs w:val="24"/>
        </w:rPr>
        <w:t>qui tam</w:t>
      </w:r>
      <w:r w:rsidRPr="00702A93">
        <w:rPr>
          <w:rFonts w:ascii="Times New Roman" w:hAnsi="Times New Roman" w:cs="Times New Roman"/>
          <w:sz w:val="24"/>
          <w:szCs w:val="24"/>
        </w:rPr>
        <w:t xml:space="preserve"> action under seal</w:t>
      </w:r>
      <w:r w:rsidR="00611AA5">
        <w:rPr>
          <w:rFonts w:ascii="Times New Roman" w:hAnsi="Times New Roman" w:cs="Times New Roman"/>
          <w:sz w:val="24"/>
          <w:szCs w:val="24"/>
        </w:rPr>
        <w:t xml:space="preserve"> in the United States District Court for the District of Massachusetts</w:t>
      </w:r>
      <w:r w:rsidR="00D4676C">
        <w:rPr>
          <w:rFonts w:ascii="Times New Roman" w:hAnsi="Times New Roman" w:cs="Times New Roman"/>
          <w:sz w:val="24"/>
          <w:szCs w:val="24"/>
        </w:rPr>
        <w:t>.</w:t>
      </w:r>
      <w:r w:rsidRPr="00702A93">
        <w:rPr>
          <w:rFonts w:ascii="Times New Roman" w:hAnsi="Times New Roman" w:cs="Times New Roman"/>
          <w:sz w:val="24"/>
          <w:szCs w:val="24"/>
        </w:rPr>
        <w:t xml:space="preserve"> </w:t>
      </w:r>
      <w:r w:rsidR="00D4676C">
        <w:rPr>
          <w:rFonts w:ascii="Times New Roman" w:hAnsi="Times New Roman" w:cs="Times New Roman"/>
          <w:sz w:val="24"/>
          <w:szCs w:val="24"/>
        </w:rPr>
        <w:t>In</w:t>
      </w:r>
      <w:r w:rsidRPr="00702A93">
        <w:rPr>
          <w:rFonts w:ascii="Times New Roman" w:hAnsi="Times New Roman" w:cs="Times New Roman"/>
          <w:sz w:val="24"/>
          <w:szCs w:val="24"/>
        </w:rPr>
        <w:t xml:space="preserve"> October 2013, the United States declined to intervene</w:t>
      </w:r>
      <w:r>
        <w:rPr>
          <w:rFonts w:ascii="Times New Roman" w:hAnsi="Times New Roman" w:cs="Times New Roman"/>
          <w:sz w:val="24"/>
          <w:szCs w:val="24"/>
        </w:rPr>
        <w:t>, and the court lifted the seal</w:t>
      </w:r>
      <w:r w:rsidRPr="00702A93">
        <w:rPr>
          <w:rFonts w:ascii="Times New Roman" w:hAnsi="Times New Roman" w:cs="Times New Roman"/>
          <w:sz w:val="24"/>
          <w:szCs w:val="24"/>
        </w:rPr>
        <w:t>.</w:t>
      </w:r>
      <w:r>
        <w:rPr>
          <w:rFonts w:ascii="Times New Roman" w:hAnsi="Times New Roman" w:cs="Times New Roman"/>
          <w:sz w:val="24"/>
          <w:szCs w:val="24"/>
        </w:rPr>
        <w:t xml:space="preserve"> </w:t>
      </w:r>
      <w:r w:rsidR="00611AA5">
        <w:rPr>
          <w:rFonts w:ascii="Times New Roman" w:hAnsi="Times New Roman" w:cs="Times New Roman"/>
          <w:sz w:val="24"/>
          <w:szCs w:val="24"/>
        </w:rPr>
        <w:t xml:space="preserve"> </w:t>
      </w:r>
      <w:r w:rsidR="00D4676C">
        <w:rPr>
          <w:rFonts w:ascii="Times New Roman" w:hAnsi="Times New Roman" w:cs="Times New Roman"/>
          <w:sz w:val="24"/>
          <w:szCs w:val="24"/>
        </w:rPr>
        <w:t xml:space="preserve">D’Agostino </w:t>
      </w:r>
      <w:r w:rsidR="00611AA5">
        <w:rPr>
          <w:rFonts w:ascii="Times New Roman" w:hAnsi="Times New Roman" w:cs="Times New Roman"/>
          <w:sz w:val="24"/>
          <w:szCs w:val="24"/>
        </w:rPr>
        <w:t>ultimately sought leave to file a fourth amended complaint, but the district court found the motion to be futile and dismissed the lawsuit.  D’Agostino filed an</w:t>
      </w:r>
      <w:r w:rsidR="00D4676C">
        <w:rPr>
          <w:rFonts w:ascii="Times New Roman" w:hAnsi="Times New Roman" w:cs="Times New Roman"/>
          <w:sz w:val="24"/>
          <w:szCs w:val="24"/>
        </w:rPr>
        <w:t xml:space="preserve"> appeal to the First Circuit.</w:t>
      </w:r>
    </w:p>
    <w:p w:rsidR="00CD3DDA" w:rsidRDefault="00791F60" w:rsidP="003B0969">
      <w:pPr>
        <w:spacing w:line="480" w:lineRule="auto"/>
        <w:rPr>
          <w:rFonts w:ascii="Times New Roman" w:hAnsi="Times New Roman" w:cs="Times New Roman"/>
          <w:sz w:val="24"/>
          <w:szCs w:val="24"/>
        </w:rPr>
      </w:pPr>
      <w:r>
        <w:rPr>
          <w:rFonts w:ascii="Times New Roman" w:hAnsi="Times New Roman" w:cs="Times New Roman"/>
          <w:sz w:val="24"/>
          <w:szCs w:val="24"/>
        </w:rPr>
        <w:tab/>
      </w:r>
      <w:r w:rsidR="00611AA5">
        <w:rPr>
          <w:rFonts w:ascii="Times New Roman" w:hAnsi="Times New Roman" w:cs="Times New Roman"/>
          <w:sz w:val="24"/>
          <w:szCs w:val="24"/>
        </w:rPr>
        <w:t xml:space="preserve">Before the district court and the First Circuit, </w:t>
      </w:r>
      <w:r w:rsidR="0068057E">
        <w:rPr>
          <w:rFonts w:ascii="Times New Roman" w:hAnsi="Times New Roman" w:cs="Times New Roman"/>
          <w:sz w:val="24"/>
          <w:szCs w:val="24"/>
        </w:rPr>
        <w:t xml:space="preserve">D’Agostino </w:t>
      </w:r>
      <w:r w:rsidR="00611AA5">
        <w:rPr>
          <w:rFonts w:ascii="Times New Roman" w:hAnsi="Times New Roman" w:cs="Times New Roman"/>
          <w:sz w:val="24"/>
          <w:szCs w:val="24"/>
        </w:rPr>
        <w:t>contended</w:t>
      </w:r>
      <w:r w:rsidR="0068057E">
        <w:rPr>
          <w:rFonts w:ascii="Times New Roman" w:hAnsi="Times New Roman" w:cs="Times New Roman"/>
          <w:sz w:val="24"/>
          <w:szCs w:val="24"/>
        </w:rPr>
        <w:t xml:space="preserve"> that the Onyx device label require</w:t>
      </w:r>
      <w:r w:rsidR="00611AA5">
        <w:rPr>
          <w:rFonts w:ascii="Times New Roman" w:hAnsi="Times New Roman" w:cs="Times New Roman"/>
          <w:sz w:val="24"/>
          <w:szCs w:val="24"/>
        </w:rPr>
        <w:t>d</w:t>
      </w:r>
      <w:r w:rsidR="0068057E">
        <w:rPr>
          <w:rFonts w:ascii="Times New Roman" w:hAnsi="Times New Roman" w:cs="Times New Roman"/>
          <w:sz w:val="24"/>
          <w:szCs w:val="24"/>
        </w:rPr>
        <w:t xml:space="preserve"> use by “trained physicians,” </w:t>
      </w:r>
      <w:r w:rsidR="00611AA5">
        <w:rPr>
          <w:rFonts w:ascii="Times New Roman" w:hAnsi="Times New Roman" w:cs="Times New Roman"/>
          <w:sz w:val="24"/>
          <w:szCs w:val="24"/>
        </w:rPr>
        <w:t xml:space="preserve">and </w:t>
      </w:r>
      <w:r w:rsidR="0068057E">
        <w:rPr>
          <w:rFonts w:ascii="Times New Roman" w:hAnsi="Times New Roman" w:cs="Times New Roman"/>
          <w:sz w:val="24"/>
          <w:szCs w:val="24"/>
        </w:rPr>
        <w:t>therefore</w:t>
      </w:r>
      <w:r w:rsidR="00611AA5">
        <w:rPr>
          <w:rFonts w:ascii="Times New Roman" w:hAnsi="Times New Roman" w:cs="Times New Roman"/>
          <w:sz w:val="24"/>
          <w:szCs w:val="24"/>
        </w:rPr>
        <w:t>,</w:t>
      </w:r>
      <w:r w:rsidR="0068057E">
        <w:rPr>
          <w:rFonts w:ascii="Times New Roman" w:hAnsi="Times New Roman" w:cs="Times New Roman"/>
          <w:sz w:val="24"/>
          <w:szCs w:val="24"/>
        </w:rPr>
        <w:t xml:space="preserve"> the “use by untrained physicians was both off-label and</w:t>
      </w:r>
      <w:r w:rsidR="00611AA5">
        <w:rPr>
          <w:rFonts w:ascii="Times New Roman" w:hAnsi="Times New Roman" w:cs="Times New Roman"/>
          <w:sz w:val="24"/>
          <w:szCs w:val="24"/>
        </w:rPr>
        <w:t xml:space="preserve"> … </w:t>
      </w:r>
      <w:r w:rsidR="0068057E">
        <w:rPr>
          <w:rFonts w:ascii="Times New Roman" w:hAnsi="Times New Roman" w:cs="Times New Roman"/>
          <w:sz w:val="24"/>
          <w:szCs w:val="24"/>
        </w:rPr>
        <w:t xml:space="preserve">not medically necessary.” </w:t>
      </w:r>
      <w:r w:rsidR="0068057E">
        <w:rPr>
          <w:rFonts w:ascii="Times New Roman" w:hAnsi="Times New Roman" w:cs="Times New Roman"/>
          <w:i/>
          <w:sz w:val="24"/>
          <w:szCs w:val="24"/>
        </w:rPr>
        <w:t xml:space="preserve">Id. </w:t>
      </w:r>
      <w:r w:rsidR="0068057E">
        <w:rPr>
          <w:rFonts w:ascii="Times New Roman" w:hAnsi="Times New Roman" w:cs="Times New Roman"/>
          <w:sz w:val="24"/>
          <w:szCs w:val="24"/>
        </w:rPr>
        <w:t xml:space="preserve">at 11. </w:t>
      </w:r>
      <w:r w:rsidR="00A4542B">
        <w:rPr>
          <w:rFonts w:ascii="Times New Roman" w:hAnsi="Times New Roman" w:cs="Times New Roman"/>
          <w:sz w:val="24"/>
          <w:szCs w:val="24"/>
        </w:rPr>
        <w:t xml:space="preserve"> The First Circuit rejected this argument, finding</w:t>
      </w:r>
      <w:r w:rsidR="003C78E8">
        <w:rPr>
          <w:rFonts w:ascii="Times New Roman" w:hAnsi="Times New Roman" w:cs="Times New Roman"/>
          <w:sz w:val="24"/>
          <w:szCs w:val="24"/>
        </w:rPr>
        <w:t xml:space="preserve"> that the label d</w:t>
      </w:r>
      <w:r w:rsidR="00A4542B">
        <w:rPr>
          <w:rFonts w:ascii="Times New Roman" w:hAnsi="Times New Roman" w:cs="Times New Roman"/>
          <w:sz w:val="24"/>
          <w:szCs w:val="24"/>
        </w:rPr>
        <w:t>id</w:t>
      </w:r>
      <w:r w:rsidR="003C78E8">
        <w:rPr>
          <w:rFonts w:ascii="Times New Roman" w:hAnsi="Times New Roman" w:cs="Times New Roman"/>
          <w:sz w:val="24"/>
          <w:szCs w:val="24"/>
        </w:rPr>
        <w:t xml:space="preserve"> not require that </w:t>
      </w:r>
      <w:r w:rsidR="003C78E8" w:rsidRPr="00BD226A">
        <w:rPr>
          <w:rFonts w:ascii="Times New Roman" w:hAnsi="Times New Roman" w:cs="Times New Roman"/>
          <w:sz w:val="24"/>
          <w:szCs w:val="24"/>
          <w:u w:val="single"/>
        </w:rPr>
        <w:t>MTI or ev3</w:t>
      </w:r>
      <w:r w:rsidR="003C78E8">
        <w:rPr>
          <w:rFonts w:ascii="Times New Roman" w:hAnsi="Times New Roman" w:cs="Times New Roman"/>
          <w:sz w:val="24"/>
          <w:szCs w:val="24"/>
        </w:rPr>
        <w:t xml:space="preserve"> provide the training, and that</w:t>
      </w:r>
      <w:r w:rsidR="00A4542B">
        <w:rPr>
          <w:rFonts w:ascii="Times New Roman" w:hAnsi="Times New Roman" w:cs="Times New Roman"/>
          <w:sz w:val="24"/>
          <w:szCs w:val="24"/>
        </w:rPr>
        <w:t xml:space="preserve"> the</w:t>
      </w:r>
      <w:r w:rsidR="003C78E8">
        <w:rPr>
          <w:rFonts w:ascii="Times New Roman" w:hAnsi="Times New Roman" w:cs="Times New Roman"/>
          <w:sz w:val="24"/>
          <w:szCs w:val="24"/>
        </w:rPr>
        <w:t xml:space="preserve"> allegations th</w:t>
      </w:r>
      <w:r w:rsidR="00A4542B">
        <w:rPr>
          <w:rFonts w:ascii="Times New Roman" w:hAnsi="Times New Roman" w:cs="Times New Roman"/>
          <w:sz w:val="24"/>
          <w:szCs w:val="24"/>
        </w:rPr>
        <w:t>at the</w:t>
      </w:r>
      <w:r w:rsidR="003C78E8">
        <w:rPr>
          <w:rFonts w:ascii="Times New Roman" w:hAnsi="Times New Roman" w:cs="Times New Roman"/>
          <w:sz w:val="24"/>
          <w:szCs w:val="24"/>
        </w:rPr>
        <w:t xml:space="preserve"> defendants </w:t>
      </w:r>
      <w:r w:rsidR="00A4542B">
        <w:rPr>
          <w:rFonts w:ascii="Times New Roman" w:hAnsi="Times New Roman" w:cs="Times New Roman"/>
          <w:sz w:val="24"/>
          <w:szCs w:val="24"/>
        </w:rPr>
        <w:t>did not</w:t>
      </w:r>
      <w:r w:rsidR="003C78E8">
        <w:rPr>
          <w:rFonts w:ascii="Times New Roman" w:hAnsi="Times New Roman" w:cs="Times New Roman"/>
          <w:sz w:val="24"/>
          <w:szCs w:val="24"/>
        </w:rPr>
        <w:t xml:space="preserve"> train physicians </w:t>
      </w:r>
      <w:r w:rsidR="00A4542B">
        <w:rPr>
          <w:rFonts w:ascii="Times New Roman" w:hAnsi="Times New Roman" w:cs="Times New Roman"/>
          <w:sz w:val="24"/>
          <w:szCs w:val="24"/>
        </w:rPr>
        <w:t xml:space="preserve">therefore fell </w:t>
      </w:r>
      <w:r w:rsidR="003C78E8">
        <w:rPr>
          <w:rFonts w:ascii="Times New Roman" w:hAnsi="Times New Roman" w:cs="Times New Roman"/>
          <w:sz w:val="24"/>
          <w:szCs w:val="24"/>
        </w:rPr>
        <w:t xml:space="preserve">“materially short of alleging facts showing that they were not trained </w:t>
      </w:r>
      <w:r w:rsidR="003C78E8">
        <w:rPr>
          <w:rFonts w:ascii="Times New Roman" w:hAnsi="Times New Roman" w:cs="Times New Roman"/>
          <w:i/>
          <w:sz w:val="24"/>
          <w:szCs w:val="24"/>
        </w:rPr>
        <w:t>at all</w:t>
      </w:r>
      <w:r w:rsidR="003C78E8">
        <w:rPr>
          <w:rFonts w:ascii="Times New Roman" w:hAnsi="Times New Roman" w:cs="Times New Roman"/>
          <w:sz w:val="24"/>
          <w:szCs w:val="24"/>
        </w:rPr>
        <w:t xml:space="preserve">.” </w:t>
      </w:r>
      <w:r w:rsidR="003C78E8">
        <w:rPr>
          <w:rFonts w:ascii="Times New Roman" w:hAnsi="Times New Roman" w:cs="Times New Roman"/>
          <w:i/>
          <w:sz w:val="24"/>
          <w:szCs w:val="24"/>
        </w:rPr>
        <w:t xml:space="preserve">Id. </w:t>
      </w:r>
      <w:r w:rsidR="003C78E8">
        <w:rPr>
          <w:rFonts w:ascii="Times New Roman" w:hAnsi="Times New Roman" w:cs="Times New Roman"/>
          <w:sz w:val="24"/>
          <w:szCs w:val="24"/>
        </w:rPr>
        <w:t>(emphasis added)</w:t>
      </w:r>
      <w:r w:rsidR="00440FDB">
        <w:rPr>
          <w:rFonts w:ascii="Times New Roman" w:hAnsi="Times New Roman" w:cs="Times New Roman"/>
          <w:sz w:val="24"/>
          <w:szCs w:val="24"/>
        </w:rPr>
        <w:t xml:space="preserve">. </w:t>
      </w:r>
    </w:p>
    <w:p w:rsidR="00A4542B" w:rsidRPr="00BC5DF8" w:rsidRDefault="00A4542B" w:rsidP="00BD226A">
      <w:pPr>
        <w:widowControl w:val="0"/>
        <w:autoSpaceDE w:val="0"/>
        <w:autoSpaceDN w:val="0"/>
        <w:adjustRightInd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First Circuit also found that D’Agostino’s off-label marketing claim would fail for an additional reason: he assumed that, because the allegedly untrained physicians </w:t>
      </w:r>
      <w:r w:rsidR="004329EB">
        <w:rPr>
          <w:rFonts w:ascii="Times New Roman" w:hAnsi="Times New Roman" w:cs="Times New Roman"/>
          <w:sz w:val="24"/>
          <w:szCs w:val="24"/>
        </w:rPr>
        <w:t>treated many patients who were insured under government programs, the physicians must have been submitting claims for services rendered to those patients.  The court found that this assumption was not supported by evidence that the physicians who lacked training actually submitted claims for government reimbursement for performing procedures involving the device on these patients</w:t>
      </w:r>
      <w:r>
        <w:rPr>
          <w:rFonts w:ascii="Times New Roman" w:hAnsi="Times New Roman" w:cs="Times New Roman"/>
          <w:sz w:val="24"/>
          <w:szCs w:val="24"/>
        </w:rPr>
        <w:t>.</w:t>
      </w:r>
    </w:p>
    <w:p w:rsidR="00CD3DDA" w:rsidRPr="00435FC5" w:rsidRDefault="00CD3DDA" w:rsidP="003B0969">
      <w:pPr>
        <w:pStyle w:val="Heading1"/>
        <w:spacing w:line="480" w:lineRule="auto"/>
        <w:jc w:val="center"/>
        <w:rPr>
          <w:rFonts w:ascii="Times New Roman" w:hAnsi="Times New Roman" w:cs="Times New Roman"/>
          <w:b/>
          <w:i/>
          <w:sz w:val="24"/>
          <w:szCs w:val="24"/>
          <w:u w:val="single"/>
        </w:rPr>
      </w:pPr>
      <w:r w:rsidRPr="00435FC5">
        <w:rPr>
          <w:rFonts w:ascii="Times New Roman" w:hAnsi="Times New Roman" w:cs="Times New Roman"/>
          <w:b/>
          <w:i/>
          <w:color w:val="auto"/>
          <w:sz w:val="24"/>
          <w:szCs w:val="24"/>
          <w:u w:val="single"/>
        </w:rPr>
        <w:t>Campie</w:t>
      </w:r>
    </w:p>
    <w:p w:rsidR="00BD7E87" w:rsidRDefault="007C4362" w:rsidP="00F739D9">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sidR="00E71FF5">
        <w:rPr>
          <w:rFonts w:ascii="Times New Roman" w:hAnsi="Times New Roman" w:cs="Times New Roman"/>
          <w:color w:val="212121"/>
          <w:sz w:val="24"/>
          <w:szCs w:val="24"/>
        </w:rPr>
        <w:t xml:space="preserve">Whereas off-label use normally pertains to cases of a </w:t>
      </w:r>
      <w:r w:rsidR="004329EB">
        <w:rPr>
          <w:rFonts w:ascii="Times New Roman" w:hAnsi="Times New Roman" w:cs="Times New Roman"/>
          <w:color w:val="212121"/>
          <w:sz w:val="24"/>
          <w:szCs w:val="24"/>
        </w:rPr>
        <w:t>FDA-</w:t>
      </w:r>
      <w:r w:rsidR="00E71FF5">
        <w:rPr>
          <w:rFonts w:ascii="Times New Roman" w:hAnsi="Times New Roman" w:cs="Times New Roman"/>
          <w:color w:val="212121"/>
          <w:sz w:val="24"/>
          <w:szCs w:val="24"/>
        </w:rPr>
        <w:t xml:space="preserve">approved drug being prescribed for a non-approved use, </w:t>
      </w:r>
      <w:r w:rsidR="005C456C" w:rsidRPr="005C456C">
        <w:rPr>
          <w:rFonts w:ascii="Times New Roman" w:hAnsi="Times New Roman" w:cs="Times New Roman"/>
          <w:i/>
          <w:color w:val="212121"/>
          <w:sz w:val="24"/>
          <w:szCs w:val="24"/>
        </w:rPr>
        <w:t>Campie</w:t>
      </w:r>
      <w:r w:rsidR="005C456C">
        <w:rPr>
          <w:rFonts w:ascii="Times New Roman" w:hAnsi="Times New Roman" w:cs="Times New Roman"/>
          <w:color w:val="212121"/>
          <w:sz w:val="24"/>
          <w:szCs w:val="24"/>
        </w:rPr>
        <w:t xml:space="preserve"> </w:t>
      </w:r>
      <w:r w:rsidR="00E71FF5">
        <w:rPr>
          <w:rFonts w:ascii="Times New Roman" w:hAnsi="Times New Roman" w:cs="Times New Roman"/>
          <w:color w:val="212121"/>
          <w:sz w:val="24"/>
          <w:szCs w:val="24"/>
        </w:rPr>
        <w:t xml:space="preserve">involves allegations that </w:t>
      </w:r>
      <w:r w:rsidR="004329EB">
        <w:rPr>
          <w:rFonts w:ascii="Times New Roman" w:hAnsi="Times New Roman" w:cs="Times New Roman"/>
          <w:color w:val="212121"/>
          <w:sz w:val="24"/>
          <w:szCs w:val="24"/>
        </w:rPr>
        <w:t xml:space="preserve">several anti-HIV </w:t>
      </w:r>
      <w:r w:rsidR="00E71FF5">
        <w:rPr>
          <w:rFonts w:ascii="Times New Roman" w:hAnsi="Times New Roman" w:cs="Times New Roman"/>
          <w:color w:val="212121"/>
          <w:sz w:val="24"/>
          <w:szCs w:val="24"/>
        </w:rPr>
        <w:t>drug</w:t>
      </w:r>
      <w:r w:rsidR="004329EB">
        <w:rPr>
          <w:rFonts w:ascii="Times New Roman" w:hAnsi="Times New Roman" w:cs="Times New Roman"/>
          <w:color w:val="212121"/>
          <w:sz w:val="24"/>
          <w:szCs w:val="24"/>
        </w:rPr>
        <w:t>s were</w:t>
      </w:r>
      <w:r w:rsidR="00E71FF5">
        <w:rPr>
          <w:rFonts w:ascii="Times New Roman" w:hAnsi="Times New Roman" w:cs="Times New Roman"/>
          <w:color w:val="212121"/>
          <w:sz w:val="24"/>
          <w:szCs w:val="24"/>
        </w:rPr>
        <w:t xml:space="preserve"> approved on</w:t>
      </w:r>
      <w:r w:rsidR="004329EB">
        <w:rPr>
          <w:rFonts w:ascii="Times New Roman" w:hAnsi="Times New Roman" w:cs="Times New Roman"/>
          <w:color w:val="212121"/>
          <w:sz w:val="24"/>
          <w:szCs w:val="24"/>
        </w:rPr>
        <w:t xml:space="preserve"> the basis of false representations by the manufacturer to FDA.</w:t>
      </w:r>
      <w:r w:rsidR="005C456C" w:rsidRPr="005C456C">
        <w:rPr>
          <w:rFonts w:ascii="Times New Roman" w:hAnsi="Times New Roman" w:cs="Times New Roman"/>
          <w:color w:val="212121"/>
          <w:sz w:val="24"/>
          <w:szCs w:val="24"/>
        </w:rPr>
        <w:t xml:space="preserve"> </w:t>
      </w:r>
      <w:r w:rsidR="004329EB">
        <w:rPr>
          <w:rFonts w:ascii="Times New Roman" w:hAnsi="Times New Roman" w:cs="Times New Roman"/>
          <w:color w:val="212121"/>
          <w:sz w:val="24"/>
          <w:szCs w:val="24"/>
        </w:rPr>
        <w:t xml:space="preserve"> </w:t>
      </w:r>
      <w:r w:rsidR="005C456C" w:rsidRPr="005C456C">
        <w:rPr>
          <w:rFonts w:ascii="Times New Roman" w:hAnsi="Times New Roman" w:cs="Times New Roman"/>
          <w:color w:val="212121"/>
          <w:sz w:val="24"/>
          <w:szCs w:val="24"/>
        </w:rPr>
        <w:t>Rela</w:t>
      </w:r>
      <w:r w:rsidR="005C456C">
        <w:rPr>
          <w:rFonts w:ascii="Times New Roman" w:hAnsi="Times New Roman" w:cs="Times New Roman"/>
          <w:color w:val="212121"/>
          <w:sz w:val="24"/>
          <w:szCs w:val="24"/>
        </w:rPr>
        <w:t>tors Jeff and Sherilyn Campie</w:t>
      </w:r>
      <w:r w:rsidR="004329EB">
        <w:rPr>
          <w:rFonts w:ascii="Times New Roman" w:hAnsi="Times New Roman" w:cs="Times New Roman"/>
          <w:color w:val="212121"/>
          <w:sz w:val="24"/>
          <w:szCs w:val="24"/>
        </w:rPr>
        <w:t xml:space="preserve"> </w:t>
      </w:r>
      <w:r w:rsidR="005C456C" w:rsidRPr="005C456C">
        <w:rPr>
          <w:rFonts w:ascii="Times New Roman" w:hAnsi="Times New Roman" w:cs="Times New Roman"/>
          <w:color w:val="212121"/>
          <w:sz w:val="24"/>
          <w:szCs w:val="24"/>
        </w:rPr>
        <w:t>allege</w:t>
      </w:r>
      <w:r w:rsidR="004329EB">
        <w:rPr>
          <w:rFonts w:ascii="Times New Roman" w:hAnsi="Times New Roman" w:cs="Times New Roman"/>
          <w:color w:val="212121"/>
          <w:sz w:val="24"/>
          <w:szCs w:val="24"/>
        </w:rPr>
        <w:t>d</w:t>
      </w:r>
      <w:r w:rsidR="005C456C" w:rsidRPr="005C456C">
        <w:rPr>
          <w:rFonts w:ascii="Times New Roman" w:hAnsi="Times New Roman" w:cs="Times New Roman"/>
          <w:color w:val="212121"/>
          <w:sz w:val="24"/>
          <w:szCs w:val="24"/>
        </w:rPr>
        <w:t xml:space="preserve"> that </w:t>
      </w:r>
      <w:r w:rsidR="004329EB">
        <w:rPr>
          <w:rFonts w:ascii="Times New Roman" w:hAnsi="Times New Roman" w:cs="Times New Roman"/>
          <w:color w:val="212121"/>
          <w:sz w:val="24"/>
          <w:szCs w:val="24"/>
        </w:rPr>
        <w:t>the d</w:t>
      </w:r>
      <w:r w:rsidR="00E71FF5" w:rsidRPr="005C456C">
        <w:rPr>
          <w:rFonts w:ascii="Times New Roman" w:hAnsi="Times New Roman" w:cs="Times New Roman"/>
          <w:color w:val="212121"/>
          <w:sz w:val="24"/>
          <w:szCs w:val="24"/>
        </w:rPr>
        <w:t>efendant</w:t>
      </w:r>
      <w:r w:rsidR="004329EB">
        <w:rPr>
          <w:rFonts w:ascii="Times New Roman" w:hAnsi="Times New Roman" w:cs="Times New Roman"/>
          <w:color w:val="212121"/>
          <w:sz w:val="24"/>
          <w:szCs w:val="24"/>
        </w:rPr>
        <w:t>,</w:t>
      </w:r>
      <w:r w:rsidR="00E71FF5" w:rsidRPr="005C456C">
        <w:rPr>
          <w:rFonts w:ascii="Times New Roman" w:hAnsi="Times New Roman" w:cs="Times New Roman"/>
          <w:color w:val="212121"/>
          <w:sz w:val="24"/>
          <w:szCs w:val="24"/>
        </w:rPr>
        <w:t xml:space="preserve"> Gilead</w:t>
      </w:r>
      <w:r w:rsidR="004329EB">
        <w:rPr>
          <w:rFonts w:ascii="Times New Roman" w:hAnsi="Times New Roman" w:cs="Times New Roman"/>
          <w:color w:val="212121"/>
          <w:sz w:val="24"/>
          <w:szCs w:val="24"/>
        </w:rPr>
        <w:t xml:space="preserve">, </w:t>
      </w:r>
      <w:r w:rsidR="005C456C" w:rsidRPr="005C456C">
        <w:rPr>
          <w:rFonts w:ascii="Times New Roman" w:hAnsi="Times New Roman" w:cs="Times New Roman"/>
          <w:color w:val="212121"/>
          <w:sz w:val="24"/>
          <w:szCs w:val="24"/>
        </w:rPr>
        <w:t>violated the False Claims Act</w:t>
      </w:r>
      <w:r w:rsidR="004329EB">
        <w:rPr>
          <w:rFonts w:ascii="Times New Roman" w:hAnsi="Times New Roman" w:cs="Times New Roman"/>
          <w:color w:val="212121"/>
          <w:sz w:val="24"/>
          <w:szCs w:val="24"/>
        </w:rPr>
        <w:t xml:space="preserve"> by </w:t>
      </w:r>
      <w:r w:rsidR="00BD226A">
        <w:rPr>
          <w:rFonts w:ascii="Times New Roman" w:hAnsi="Times New Roman" w:cs="Times New Roman"/>
          <w:color w:val="212121"/>
          <w:sz w:val="24"/>
          <w:szCs w:val="24"/>
        </w:rPr>
        <w:t xml:space="preserve">knowingly </w:t>
      </w:r>
      <w:r w:rsidR="004329EB">
        <w:rPr>
          <w:rFonts w:ascii="Times New Roman" w:hAnsi="Times New Roman" w:cs="Times New Roman"/>
          <w:color w:val="212121"/>
          <w:sz w:val="24"/>
          <w:szCs w:val="24"/>
        </w:rPr>
        <w:t xml:space="preserve">causing the submission of claims for reimbursement of </w:t>
      </w:r>
      <w:r w:rsidR="00BD226A">
        <w:rPr>
          <w:rFonts w:ascii="Times New Roman" w:hAnsi="Times New Roman" w:cs="Times New Roman"/>
          <w:color w:val="212121"/>
          <w:sz w:val="24"/>
          <w:szCs w:val="24"/>
        </w:rPr>
        <w:t>adulterated</w:t>
      </w:r>
      <w:r w:rsidR="004329EB">
        <w:rPr>
          <w:rFonts w:ascii="Times New Roman" w:hAnsi="Times New Roman" w:cs="Times New Roman"/>
          <w:color w:val="212121"/>
          <w:sz w:val="24"/>
          <w:szCs w:val="24"/>
        </w:rPr>
        <w:t xml:space="preserve"> drug</w:t>
      </w:r>
      <w:r w:rsidR="00BD226A">
        <w:rPr>
          <w:rFonts w:ascii="Times New Roman" w:hAnsi="Times New Roman" w:cs="Times New Roman"/>
          <w:color w:val="212121"/>
          <w:sz w:val="24"/>
          <w:szCs w:val="24"/>
        </w:rPr>
        <w:t xml:space="preserve">s, </w:t>
      </w:r>
      <w:r w:rsidR="00BD226A" w:rsidRPr="00BD226A">
        <w:rPr>
          <w:rFonts w:ascii="Times New Roman" w:hAnsi="Times New Roman" w:cs="Times New Roman"/>
          <w:i/>
          <w:color w:val="212121"/>
          <w:sz w:val="24"/>
          <w:szCs w:val="24"/>
        </w:rPr>
        <w:t>i.e.</w:t>
      </w:r>
      <w:r w:rsidR="00BD226A">
        <w:rPr>
          <w:rFonts w:ascii="Times New Roman" w:hAnsi="Times New Roman" w:cs="Times New Roman"/>
          <w:color w:val="212121"/>
          <w:sz w:val="24"/>
          <w:szCs w:val="24"/>
        </w:rPr>
        <w:t>, drugs</w:t>
      </w:r>
      <w:r w:rsidR="004329EB">
        <w:rPr>
          <w:rFonts w:ascii="Times New Roman" w:hAnsi="Times New Roman" w:cs="Times New Roman"/>
          <w:color w:val="212121"/>
          <w:sz w:val="24"/>
          <w:szCs w:val="24"/>
        </w:rPr>
        <w:t xml:space="preserve"> that w</w:t>
      </w:r>
      <w:r w:rsidR="00BD226A">
        <w:rPr>
          <w:rFonts w:ascii="Times New Roman" w:hAnsi="Times New Roman" w:cs="Times New Roman"/>
          <w:color w:val="212121"/>
          <w:sz w:val="24"/>
          <w:szCs w:val="24"/>
        </w:rPr>
        <w:t>ere</w:t>
      </w:r>
      <w:r w:rsidR="004329EB">
        <w:rPr>
          <w:rFonts w:ascii="Times New Roman" w:hAnsi="Times New Roman" w:cs="Times New Roman"/>
          <w:color w:val="212121"/>
          <w:sz w:val="24"/>
          <w:szCs w:val="24"/>
        </w:rPr>
        <w:t xml:space="preserve"> materially different from </w:t>
      </w:r>
      <w:r w:rsidR="00BD226A">
        <w:rPr>
          <w:rFonts w:ascii="Times New Roman" w:hAnsi="Times New Roman" w:cs="Times New Roman"/>
          <w:color w:val="212121"/>
          <w:sz w:val="24"/>
          <w:szCs w:val="24"/>
        </w:rPr>
        <w:t>forms</w:t>
      </w:r>
      <w:r w:rsidR="004329EB">
        <w:rPr>
          <w:rFonts w:ascii="Times New Roman" w:hAnsi="Times New Roman" w:cs="Times New Roman"/>
          <w:color w:val="212121"/>
          <w:sz w:val="24"/>
          <w:szCs w:val="24"/>
        </w:rPr>
        <w:t xml:space="preserve"> that had been approved</w:t>
      </w:r>
      <w:r w:rsidR="005C456C" w:rsidRPr="005C456C">
        <w:rPr>
          <w:rFonts w:ascii="Times New Roman" w:hAnsi="Times New Roman" w:cs="Times New Roman"/>
          <w:color w:val="212121"/>
          <w:sz w:val="24"/>
          <w:szCs w:val="24"/>
        </w:rPr>
        <w:t>.</w:t>
      </w:r>
    </w:p>
    <w:p w:rsidR="00BD226A" w:rsidRDefault="00060411" w:rsidP="007C4362">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Gilead manufacturer</w:t>
      </w:r>
      <w:r w:rsidR="00BD226A">
        <w:rPr>
          <w:rFonts w:ascii="Times New Roman" w:hAnsi="Times New Roman" w:cs="Times New Roman"/>
          <w:color w:val="212121"/>
          <w:sz w:val="24"/>
          <w:szCs w:val="24"/>
        </w:rPr>
        <w:t>s several</w:t>
      </w:r>
      <w:r>
        <w:rPr>
          <w:rFonts w:ascii="Times New Roman" w:hAnsi="Times New Roman" w:cs="Times New Roman"/>
          <w:color w:val="212121"/>
          <w:sz w:val="24"/>
          <w:szCs w:val="24"/>
        </w:rPr>
        <w:t xml:space="preserve"> ant</w:t>
      </w:r>
      <w:r w:rsidR="00E71FF5">
        <w:rPr>
          <w:rFonts w:ascii="Times New Roman" w:hAnsi="Times New Roman" w:cs="Times New Roman"/>
          <w:color w:val="212121"/>
          <w:sz w:val="24"/>
          <w:szCs w:val="24"/>
        </w:rPr>
        <w:t>i</w:t>
      </w:r>
      <w:r>
        <w:rPr>
          <w:rFonts w:ascii="Times New Roman" w:hAnsi="Times New Roman" w:cs="Times New Roman"/>
          <w:color w:val="212121"/>
          <w:sz w:val="24"/>
          <w:szCs w:val="24"/>
        </w:rPr>
        <w:t>-HIV drug therapies</w:t>
      </w:r>
      <w:r w:rsidR="00BD226A">
        <w:rPr>
          <w:rFonts w:ascii="Times New Roman" w:hAnsi="Times New Roman" w:cs="Times New Roman"/>
          <w:color w:val="212121"/>
          <w:sz w:val="24"/>
          <w:szCs w:val="24"/>
        </w:rPr>
        <w:t>,</w:t>
      </w:r>
      <w:r>
        <w:rPr>
          <w:rFonts w:ascii="Times New Roman" w:hAnsi="Times New Roman" w:cs="Times New Roman"/>
          <w:color w:val="212121"/>
          <w:sz w:val="24"/>
          <w:szCs w:val="24"/>
        </w:rPr>
        <w:t xml:space="preserve"> including Atripla, Truvada, and Emtriva. </w:t>
      </w:r>
      <w:r w:rsidR="00BD226A">
        <w:rPr>
          <w:rFonts w:ascii="Times New Roman" w:hAnsi="Times New Roman" w:cs="Times New Roman"/>
          <w:color w:val="212121"/>
          <w:sz w:val="24"/>
          <w:szCs w:val="24"/>
        </w:rPr>
        <w:t xml:space="preserve"> Relators claimed that i</w:t>
      </w:r>
      <w:r>
        <w:rPr>
          <w:rFonts w:ascii="Times New Roman" w:hAnsi="Times New Roman" w:cs="Times New Roman"/>
          <w:color w:val="212121"/>
          <w:sz w:val="24"/>
          <w:szCs w:val="24"/>
        </w:rPr>
        <w:t xml:space="preserve">n 2008 and 2009, the government paid over $5 billion to Gilead for these drugs, and </w:t>
      </w:r>
      <w:r w:rsidR="00BD226A">
        <w:rPr>
          <w:rFonts w:ascii="Times New Roman" w:hAnsi="Times New Roman" w:cs="Times New Roman"/>
          <w:color w:val="212121"/>
          <w:sz w:val="24"/>
          <w:szCs w:val="24"/>
        </w:rPr>
        <w:t xml:space="preserve">that </w:t>
      </w:r>
      <w:r w:rsidR="00053350">
        <w:rPr>
          <w:rFonts w:ascii="Times New Roman" w:hAnsi="Times New Roman" w:cs="Times New Roman"/>
          <w:color w:val="212121"/>
          <w:sz w:val="24"/>
          <w:szCs w:val="24"/>
        </w:rPr>
        <w:t xml:space="preserve">during this period, </w:t>
      </w:r>
      <w:r>
        <w:rPr>
          <w:rFonts w:ascii="Times New Roman" w:hAnsi="Times New Roman" w:cs="Times New Roman"/>
          <w:color w:val="212121"/>
          <w:sz w:val="24"/>
          <w:szCs w:val="24"/>
        </w:rPr>
        <w:t xml:space="preserve">the defendant concealed </w:t>
      </w:r>
      <w:r w:rsidR="00BD226A">
        <w:rPr>
          <w:rFonts w:ascii="Times New Roman" w:hAnsi="Times New Roman" w:cs="Times New Roman"/>
          <w:color w:val="212121"/>
          <w:sz w:val="24"/>
          <w:szCs w:val="24"/>
        </w:rPr>
        <w:t xml:space="preserve">from </w:t>
      </w:r>
      <w:r>
        <w:rPr>
          <w:rFonts w:ascii="Times New Roman" w:hAnsi="Times New Roman" w:cs="Times New Roman"/>
          <w:color w:val="212121"/>
          <w:sz w:val="24"/>
          <w:szCs w:val="24"/>
        </w:rPr>
        <w:t xml:space="preserve">FDA </w:t>
      </w:r>
      <w:r w:rsidR="00BD226A">
        <w:rPr>
          <w:rFonts w:ascii="Times New Roman" w:hAnsi="Times New Roman" w:cs="Times New Roman"/>
          <w:color w:val="212121"/>
          <w:sz w:val="24"/>
          <w:szCs w:val="24"/>
        </w:rPr>
        <w:t xml:space="preserve">that it was manufacturing the drugs in violation of FDA-approved processes.  Relators further claimed that Gilead </w:t>
      </w:r>
      <w:r w:rsidR="007661D4">
        <w:rPr>
          <w:rFonts w:ascii="Times New Roman" w:hAnsi="Times New Roman" w:cs="Times New Roman"/>
          <w:color w:val="212121"/>
          <w:sz w:val="24"/>
          <w:szCs w:val="24"/>
        </w:rPr>
        <w:t>made false statements regarding their compliance</w:t>
      </w:r>
      <w:r w:rsidR="00BD226A">
        <w:rPr>
          <w:rFonts w:ascii="Times New Roman" w:hAnsi="Times New Roman" w:cs="Times New Roman"/>
          <w:color w:val="212121"/>
          <w:sz w:val="24"/>
          <w:szCs w:val="24"/>
        </w:rPr>
        <w:t xml:space="preserve"> with FDA requirements</w:t>
      </w:r>
      <w:r w:rsidR="007661D4">
        <w:rPr>
          <w:rFonts w:ascii="Times New Roman" w:hAnsi="Times New Roman" w:cs="Times New Roman"/>
          <w:color w:val="212121"/>
          <w:sz w:val="24"/>
          <w:szCs w:val="24"/>
        </w:rPr>
        <w:t>.</w:t>
      </w:r>
    </w:p>
    <w:p w:rsidR="0071775E" w:rsidRDefault="007661D4" w:rsidP="007C4362">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Gilead’s </w:t>
      </w:r>
      <w:r w:rsidR="00BD226A">
        <w:rPr>
          <w:rFonts w:ascii="Times New Roman" w:hAnsi="Times New Roman" w:cs="Times New Roman"/>
          <w:color w:val="212121"/>
          <w:sz w:val="24"/>
          <w:szCs w:val="24"/>
        </w:rPr>
        <w:t xml:space="preserve">anti- </w:t>
      </w:r>
      <w:r>
        <w:rPr>
          <w:rFonts w:ascii="Times New Roman" w:hAnsi="Times New Roman" w:cs="Times New Roman"/>
          <w:color w:val="212121"/>
          <w:sz w:val="24"/>
          <w:szCs w:val="24"/>
        </w:rPr>
        <w:t>HIV drugs Emtriva, Truvada, and Atripla contain the active ingredient</w:t>
      </w:r>
      <w:r w:rsidRPr="007661D4">
        <w:rPr>
          <w:rFonts w:ascii="Times New Roman" w:hAnsi="Times New Roman" w:cs="Times New Roman"/>
          <w:color w:val="212121"/>
          <w:sz w:val="24"/>
          <w:szCs w:val="24"/>
        </w:rPr>
        <w:t xml:space="preserve"> emtrici</w:t>
      </w:r>
      <w:r>
        <w:rPr>
          <w:rFonts w:ascii="Times New Roman" w:hAnsi="Times New Roman" w:cs="Times New Roman"/>
          <w:color w:val="212121"/>
          <w:sz w:val="24"/>
          <w:szCs w:val="24"/>
        </w:rPr>
        <w:t>tabine</w:t>
      </w:r>
      <w:r w:rsidRPr="007661D4">
        <w:rPr>
          <w:rFonts w:ascii="Times New Roman" w:hAnsi="Times New Roman" w:cs="Times New Roman"/>
          <w:color w:val="212121"/>
          <w:sz w:val="24"/>
          <w:szCs w:val="24"/>
        </w:rPr>
        <w:t xml:space="preserve"> (commonly known as </w:t>
      </w:r>
      <w:r>
        <w:rPr>
          <w:rFonts w:ascii="Times New Roman" w:hAnsi="Times New Roman" w:cs="Times New Roman"/>
          <w:color w:val="212121"/>
          <w:sz w:val="24"/>
          <w:szCs w:val="24"/>
        </w:rPr>
        <w:t>“</w:t>
      </w:r>
      <w:r w:rsidRPr="007661D4">
        <w:rPr>
          <w:rFonts w:ascii="Times New Roman" w:hAnsi="Times New Roman" w:cs="Times New Roman"/>
          <w:color w:val="212121"/>
          <w:sz w:val="24"/>
          <w:szCs w:val="24"/>
        </w:rPr>
        <w:t>FTC</w:t>
      </w:r>
      <w:r>
        <w:rPr>
          <w:rFonts w:ascii="Times New Roman" w:hAnsi="Times New Roman" w:cs="Times New Roman"/>
          <w:color w:val="212121"/>
          <w:sz w:val="24"/>
          <w:szCs w:val="24"/>
        </w:rPr>
        <w:t>”</w:t>
      </w:r>
      <w:r w:rsidR="009A05CF">
        <w:rPr>
          <w:rFonts w:ascii="Times New Roman" w:hAnsi="Times New Roman" w:cs="Times New Roman"/>
          <w:color w:val="212121"/>
          <w:sz w:val="24"/>
          <w:szCs w:val="24"/>
        </w:rPr>
        <w:t xml:space="preserve">). </w:t>
      </w:r>
      <w:r w:rsidR="00BD226A">
        <w:rPr>
          <w:rFonts w:ascii="Times New Roman" w:hAnsi="Times New Roman" w:cs="Times New Roman"/>
          <w:color w:val="212121"/>
          <w:sz w:val="24"/>
          <w:szCs w:val="24"/>
        </w:rPr>
        <w:t xml:space="preserve"> </w:t>
      </w:r>
      <w:r w:rsidR="009A05CF">
        <w:rPr>
          <w:rFonts w:ascii="Times New Roman" w:hAnsi="Times New Roman" w:cs="Times New Roman"/>
          <w:color w:val="212121"/>
          <w:sz w:val="24"/>
          <w:szCs w:val="24"/>
        </w:rPr>
        <w:t xml:space="preserve">In </w:t>
      </w:r>
      <w:r w:rsidR="00BD226A">
        <w:rPr>
          <w:rFonts w:ascii="Times New Roman" w:hAnsi="Times New Roman" w:cs="Times New Roman"/>
          <w:color w:val="212121"/>
          <w:sz w:val="24"/>
          <w:szCs w:val="24"/>
        </w:rPr>
        <w:t>applying for FDA approval for these drugs</w:t>
      </w:r>
      <w:r w:rsidRPr="007661D4">
        <w:rPr>
          <w:rFonts w:ascii="Times New Roman" w:hAnsi="Times New Roman" w:cs="Times New Roman"/>
          <w:color w:val="212121"/>
          <w:sz w:val="24"/>
          <w:szCs w:val="24"/>
        </w:rPr>
        <w:t xml:space="preserve">, Gilead </w:t>
      </w:r>
      <w:r w:rsidR="00BD226A">
        <w:rPr>
          <w:rFonts w:ascii="Times New Roman" w:hAnsi="Times New Roman" w:cs="Times New Roman"/>
          <w:color w:val="212121"/>
          <w:sz w:val="24"/>
          <w:szCs w:val="24"/>
        </w:rPr>
        <w:t xml:space="preserve">represented </w:t>
      </w:r>
      <w:r w:rsidRPr="007661D4">
        <w:rPr>
          <w:rFonts w:ascii="Times New Roman" w:hAnsi="Times New Roman" w:cs="Times New Roman"/>
          <w:color w:val="212121"/>
          <w:sz w:val="24"/>
          <w:szCs w:val="24"/>
        </w:rPr>
        <w:t xml:space="preserve">that it would </w:t>
      </w:r>
      <w:r w:rsidR="009A05CF">
        <w:rPr>
          <w:rFonts w:ascii="Times New Roman" w:hAnsi="Times New Roman" w:cs="Times New Roman"/>
          <w:color w:val="212121"/>
          <w:sz w:val="24"/>
          <w:szCs w:val="24"/>
        </w:rPr>
        <w:t>obtain</w:t>
      </w:r>
      <w:r w:rsidRPr="007661D4">
        <w:rPr>
          <w:rFonts w:ascii="Times New Roman" w:hAnsi="Times New Roman" w:cs="Times New Roman"/>
          <w:color w:val="212121"/>
          <w:sz w:val="24"/>
          <w:szCs w:val="24"/>
        </w:rPr>
        <w:t xml:space="preserve"> the FTC from specific registered facilities</w:t>
      </w:r>
      <w:r w:rsidR="00053350">
        <w:rPr>
          <w:rFonts w:ascii="Times New Roman" w:hAnsi="Times New Roman" w:cs="Times New Roman"/>
          <w:color w:val="212121"/>
          <w:sz w:val="24"/>
          <w:szCs w:val="24"/>
        </w:rPr>
        <w:t xml:space="preserve">. </w:t>
      </w:r>
      <w:r w:rsidR="00BD226A">
        <w:rPr>
          <w:rFonts w:ascii="Times New Roman" w:hAnsi="Times New Roman" w:cs="Times New Roman"/>
          <w:color w:val="212121"/>
          <w:sz w:val="24"/>
          <w:szCs w:val="24"/>
        </w:rPr>
        <w:t xml:space="preserve"> </w:t>
      </w:r>
      <w:r w:rsidR="00053350">
        <w:rPr>
          <w:rFonts w:ascii="Times New Roman" w:hAnsi="Times New Roman" w:cs="Times New Roman"/>
          <w:color w:val="212121"/>
          <w:sz w:val="24"/>
          <w:szCs w:val="24"/>
        </w:rPr>
        <w:t>R</w:t>
      </w:r>
      <w:r w:rsidRPr="007661D4">
        <w:rPr>
          <w:rFonts w:ascii="Times New Roman" w:hAnsi="Times New Roman" w:cs="Times New Roman"/>
          <w:color w:val="212121"/>
          <w:sz w:val="24"/>
          <w:szCs w:val="24"/>
        </w:rPr>
        <w:t>elators alleg</w:t>
      </w:r>
      <w:r w:rsidR="00BD226A">
        <w:rPr>
          <w:rFonts w:ascii="Times New Roman" w:hAnsi="Times New Roman" w:cs="Times New Roman"/>
          <w:color w:val="212121"/>
          <w:sz w:val="24"/>
          <w:szCs w:val="24"/>
        </w:rPr>
        <w:t>ed, however,</w:t>
      </w:r>
      <w:r w:rsidRPr="007661D4">
        <w:rPr>
          <w:rFonts w:ascii="Times New Roman" w:hAnsi="Times New Roman" w:cs="Times New Roman"/>
          <w:color w:val="212121"/>
          <w:sz w:val="24"/>
          <w:szCs w:val="24"/>
        </w:rPr>
        <w:t xml:space="preserve"> that </w:t>
      </w:r>
      <w:r w:rsidR="009A05CF">
        <w:rPr>
          <w:rFonts w:ascii="Times New Roman" w:hAnsi="Times New Roman" w:cs="Times New Roman"/>
          <w:color w:val="212121"/>
          <w:sz w:val="24"/>
          <w:szCs w:val="24"/>
        </w:rPr>
        <w:t xml:space="preserve">in </w:t>
      </w:r>
      <w:r w:rsidRPr="007661D4">
        <w:rPr>
          <w:rFonts w:ascii="Times New Roman" w:hAnsi="Times New Roman" w:cs="Times New Roman"/>
          <w:color w:val="212121"/>
          <w:sz w:val="24"/>
          <w:szCs w:val="24"/>
        </w:rPr>
        <w:t xml:space="preserve">2006, Gilead </w:t>
      </w:r>
      <w:r w:rsidR="009A05CF">
        <w:rPr>
          <w:rFonts w:ascii="Times New Roman" w:hAnsi="Times New Roman" w:cs="Times New Roman"/>
          <w:color w:val="212121"/>
          <w:sz w:val="24"/>
          <w:szCs w:val="24"/>
        </w:rPr>
        <w:t xml:space="preserve">attempted to save money by contracting with Synthetics China for </w:t>
      </w:r>
      <w:r w:rsidRPr="007661D4">
        <w:rPr>
          <w:rFonts w:ascii="Times New Roman" w:hAnsi="Times New Roman" w:cs="Times New Roman"/>
          <w:color w:val="212121"/>
          <w:sz w:val="24"/>
          <w:szCs w:val="24"/>
        </w:rPr>
        <w:t xml:space="preserve">unapproved </w:t>
      </w:r>
      <w:r w:rsidR="009A05CF">
        <w:rPr>
          <w:rFonts w:ascii="Times New Roman" w:hAnsi="Times New Roman" w:cs="Times New Roman"/>
          <w:color w:val="212121"/>
          <w:sz w:val="24"/>
          <w:szCs w:val="24"/>
        </w:rPr>
        <w:t xml:space="preserve">FTC at unregistered facilities, </w:t>
      </w:r>
      <w:r w:rsidR="00BD226A">
        <w:rPr>
          <w:rFonts w:ascii="Times New Roman" w:hAnsi="Times New Roman" w:cs="Times New Roman"/>
          <w:color w:val="212121"/>
          <w:sz w:val="24"/>
          <w:szCs w:val="24"/>
        </w:rPr>
        <w:t xml:space="preserve">and that Gilead </w:t>
      </w:r>
      <w:r w:rsidR="009A05CF">
        <w:rPr>
          <w:rFonts w:ascii="Times New Roman" w:hAnsi="Times New Roman" w:cs="Times New Roman"/>
          <w:color w:val="212121"/>
          <w:sz w:val="24"/>
          <w:szCs w:val="24"/>
        </w:rPr>
        <w:t xml:space="preserve">falsely </w:t>
      </w:r>
      <w:r w:rsidR="00BD226A">
        <w:rPr>
          <w:rFonts w:ascii="Times New Roman" w:hAnsi="Times New Roman" w:cs="Times New Roman"/>
          <w:color w:val="212121"/>
          <w:sz w:val="24"/>
          <w:szCs w:val="24"/>
        </w:rPr>
        <w:t>represented</w:t>
      </w:r>
      <w:r w:rsidR="009A05CF">
        <w:rPr>
          <w:rFonts w:ascii="Times New Roman" w:hAnsi="Times New Roman" w:cs="Times New Roman"/>
          <w:color w:val="212121"/>
          <w:sz w:val="24"/>
          <w:szCs w:val="24"/>
        </w:rPr>
        <w:t xml:space="preserve"> that the FTC had come from an</w:t>
      </w:r>
      <w:r w:rsidRPr="007661D4">
        <w:rPr>
          <w:rFonts w:ascii="Times New Roman" w:hAnsi="Times New Roman" w:cs="Times New Roman"/>
          <w:color w:val="212121"/>
          <w:sz w:val="24"/>
          <w:szCs w:val="24"/>
        </w:rPr>
        <w:t xml:space="preserve"> approved South Korean </w:t>
      </w:r>
      <w:r w:rsidR="009A05CF">
        <w:rPr>
          <w:rFonts w:ascii="Times New Roman" w:hAnsi="Times New Roman" w:cs="Times New Roman"/>
          <w:color w:val="212121"/>
          <w:sz w:val="24"/>
          <w:szCs w:val="24"/>
        </w:rPr>
        <w:t>company</w:t>
      </w:r>
      <w:r w:rsidRPr="007661D4">
        <w:rPr>
          <w:rFonts w:ascii="Times New Roman" w:hAnsi="Times New Roman" w:cs="Times New Roman"/>
          <w:color w:val="212121"/>
          <w:sz w:val="24"/>
          <w:szCs w:val="24"/>
        </w:rPr>
        <w:t xml:space="preserve">. </w:t>
      </w:r>
      <w:r w:rsidR="0020160B">
        <w:rPr>
          <w:rFonts w:ascii="Times New Roman" w:hAnsi="Times New Roman" w:cs="Times New Roman"/>
          <w:color w:val="212121"/>
          <w:sz w:val="24"/>
          <w:szCs w:val="24"/>
        </w:rPr>
        <w:t xml:space="preserve"> </w:t>
      </w:r>
      <w:r w:rsidR="00A87F45">
        <w:rPr>
          <w:rFonts w:ascii="Times New Roman" w:hAnsi="Times New Roman" w:cs="Times New Roman"/>
          <w:color w:val="212121"/>
          <w:sz w:val="24"/>
          <w:szCs w:val="24"/>
        </w:rPr>
        <w:t xml:space="preserve">Gilead eventually sought approval from FDA to use Synthetics China’s FTC in October 2008, </w:t>
      </w:r>
      <w:r w:rsidR="0020160B">
        <w:rPr>
          <w:rFonts w:ascii="Times New Roman" w:hAnsi="Times New Roman" w:cs="Times New Roman"/>
          <w:color w:val="212121"/>
          <w:sz w:val="24"/>
          <w:szCs w:val="24"/>
        </w:rPr>
        <w:t>and FDA ultimately granted the approval in 2010.  The</w:t>
      </w:r>
      <w:r w:rsidR="00A87F45">
        <w:rPr>
          <w:rFonts w:ascii="Times New Roman" w:hAnsi="Times New Roman" w:cs="Times New Roman"/>
          <w:color w:val="212121"/>
          <w:sz w:val="24"/>
          <w:szCs w:val="24"/>
        </w:rPr>
        <w:t xml:space="preserve"> relators </w:t>
      </w:r>
      <w:r w:rsidR="0020160B">
        <w:rPr>
          <w:rFonts w:ascii="Times New Roman" w:hAnsi="Times New Roman" w:cs="Times New Roman"/>
          <w:color w:val="212121"/>
          <w:sz w:val="24"/>
          <w:szCs w:val="24"/>
        </w:rPr>
        <w:t>alleged</w:t>
      </w:r>
      <w:r w:rsidR="00A87F45">
        <w:rPr>
          <w:rFonts w:ascii="Times New Roman" w:hAnsi="Times New Roman" w:cs="Times New Roman"/>
          <w:color w:val="212121"/>
          <w:sz w:val="24"/>
          <w:szCs w:val="24"/>
        </w:rPr>
        <w:t xml:space="preserve"> that Gilead </w:t>
      </w:r>
      <w:r w:rsidR="00D77938">
        <w:rPr>
          <w:rFonts w:ascii="Times New Roman" w:hAnsi="Times New Roman" w:cs="Times New Roman"/>
          <w:color w:val="212121"/>
          <w:sz w:val="24"/>
          <w:szCs w:val="24"/>
        </w:rPr>
        <w:t>had</w:t>
      </w:r>
      <w:r w:rsidR="00A87F45">
        <w:rPr>
          <w:rFonts w:ascii="Times New Roman" w:hAnsi="Times New Roman" w:cs="Times New Roman"/>
          <w:color w:val="212121"/>
          <w:sz w:val="24"/>
          <w:szCs w:val="24"/>
        </w:rPr>
        <w:t xml:space="preserve"> been </w:t>
      </w:r>
      <w:r w:rsidR="0020160B">
        <w:rPr>
          <w:rFonts w:ascii="Times New Roman" w:hAnsi="Times New Roman" w:cs="Times New Roman"/>
          <w:color w:val="212121"/>
          <w:sz w:val="24"/>
          <w:szCs w:val="24"/>
        </w:rPr>
        <w:t>producing</w:t>
      </w:r>
      <w:r w:rsidR="00A87F45">
        <w:rPr>
          <w:rFonts w:ascii="Times New Roman" w:hAnsi="Times New Roman" w:cs="Times New Roman"/>
          <w:color w:val="212121"/>
          <w:sz w:val="24"/>
          <w:szCs w:val="24"/>
        </w:rPr>
        <w:t xml:space="preserve"> the</w:t>
      </w:r>
      <w:r w:rsidR="0020160B">
        <w:rPr>
          <w:rFonts w:ascii="Times New Roman" w:hAnsi="Times New Roman" w:cs="Times New Roman"/>
          <w:color w:val="212121"/>
          <w:sz w:val="24"/>
          <w:szCs w:val="24"/>
        </w:rPr>
        <w:t xml:space="preserve"> adulterated</w:t>
      </w:r>
      <w:r w:rsidR="00A87F45">
        <w:rPr>
          <w:rFonts w:ascii="Times New Roman" w:hAnsi="Times New Roman" w:cs="Times New Roman"/>
          <w:color w:val="212121"/>
          <w:sz w:val="24"/>
          <w:szCs w:val="24"/>
        </w:rPr>
        <w:t xml:space="preserve"> products for at least two years prior to obtaining </w:t>
      </w:r>
      <w:r w:rsidR="0020160B">
        <w:rPr>
          <w:rFonts w:ascii="Times New Roman" w:hAnsi="Times New Roman" w:cs="Times New Roman"/>
          <w:color w:val="212121"/>
          <w:sz w:val="24"/>
          <w:szCs w:val="24"/>
        </w:rPr>
        <w:t xml:space="preserve">FDA’s </w:t>
      </w:r>
      <w:r w:rsidR="00A87F45">
        <w:rPr>
          <w:rFonts w:ascii="Times New Roman" w:hAnsi="Times New Roman" w:cs="Times New Roman"/>
          <w:color w:val="212121"/>
          <w:sz w:val="24"/>
          <w:szCs w:val="24"/>
        </w:rPr>
        <w:t xml:space="preserve">approval in 2010, </w:t>
      </w:r>
      <w:r w:rsidR="00E26B47">
        <w:rPr>
          <w:rFonts w:ascii="Times New Roman" w:hAnsi="Times New Roman" w:cs="Times New Roman"/>
          <w:color w:val="212121"/>
          <w:sz w:val="24"/>
          <w:szCs w:val="24"/>
        </w:rPr>
        <w:t xml:space="preserve">and that during this interim time period, Gilead was concealing </w:t>
      </w:r>
      <w:r w:rsidR="00AA0B64">
        <w:rPr>
          <w:rFonts w:ascii="Times New Roman" w:hAnsi="Times New Roman" w:cs="Times New Roman"/>
          <w:color w:val="212121"/>
          <w:sz w:val="24"/>
          <w:szCs w:val="24"/>
        </w:rPr>
        <w:t>data</w:t>
      </w:r>
      <w:r w:rsidR="00A87F45">
        <w:rPr>
          <w:rFonts w:ascii="Times New Roman" w:hAnsi="Times New Roman" w:cs="Times New Roman"/>
          <w:color w:val="212121"/>
          <w:sz w:val="24"/>
          <w:szCs w:val="24"/>
        </w:rPr>
        <w:t xml:space="preserve"> in </w:t>
      </w:r>
      <w:r w:rsidR="00E26B47">
        <w:rPr>
          <w:rFonts w:ascii="Times New Roman" w:hAnsi="Times New Roman" w:cs="Times New Roman"/>
          <w:color w:val="212121"/>
          <w:sz w:val="24"/>
          <w:szCs w:val="24"/>
        </w:rPr>
        <w:t>its</w:t>
      </w:r>
      <w:r w:rsidR="00AA5709">
        <w:rPr>
          <w:rFonts w:ascii="Times New Roman" w:hAnsi="Times New Roman" w:cs="Times New Roman"/>
          <w:color w:val="212121"/>
          <w:sz w:val="24"/>
          <w:szCs w:val="24"/>
        </w:rPr>
        <w:t xml:space="preserve"> </w:t>
      </w:r>
      <w:r w:rsidR="00E26B47">
        <w:rPr>
          <w:rFonts w:ascii="Times New Roman" w:hAnsi="Times New Roman" w:cs="Times New Roman"/>
          <w:color w:val="212121"/>
          <w:sz w:val="24"/>
          <w:szCs w:val="24"/>
        </w:rPr>
        <w:t xml:space="preserve">FDA </w:t>
      </w:r>
      <w:r w:rsidR="00AA5709">
        <w:rPr>
          <w:rFonts w:ascii="Times New Roman" w:hAnsi="Times New Roman" w:cs="Times New Roman"/>
          <w:color w:val="212121"/>
          <w:sz w:val="24"/>
          <w:szCs w:val="24"/>
        </w:rPr>
        <w:t>application and</w:t>
      </w:r>
      <w:r w:rsidR="00E26B47">
        <w:rPr>
          <w:rFonts w:ascii="Times New Roman" w:hAnsi="Times New Roman" w:cs="Times New Roman"/>
          <w:color w:val="212121"/>
          <w:sz w:val="24"/>
          <w:szCs w:val="24"/>
        </w:rPr>
        <w:t xml:space="preserve"> was</w:t>
      </w:r>
      <w:r w:rsidR="00AA5709">
        <w:rPr>
          <w:rFonts w:ascii="Times New Roman" w:hAnsi="Times New Roman" w:cs="Times New Roman"/>
          <w:color w:val="212121"/>
          <w:sz w:val="24"/>
          <w:szCs w:val="24"/>
        </w:rPr>
        <w:t xml:space="preserve"> importing FTC </w:t>
      </w:r>
      <w:r w:rsidR="00AA0B64">
        <w:rPr>
          <w:rFonts w:ascii="Times New Roman" w:hAnsi="Times New Roman" w:cs="Times New Roman"/>
          <w:color w:val="212121"/>
          <w:sz w:val="24"/>
          <w:szCs w:val="24"/>
        </w:rPr>
        <w:t>with</w:t>
      </w:r>
      <w:r w:rsidR="00AA5709">
        <w:rPr>
          <w:rFonts w:ascii="Times New Roman" w:hAnsi="Times New Roman" w:cs="Times New Roman"/>
          <w:color w:val="212121"/>
          <w:sz w:val="24"/>
          <w:szCs w:val="24"/>
        </w:rPr>
        <w:t xml:space="preserve"> fraudulent labeling.</w:t>
      </w:r>
    </w:p>
    <w:p w:rsidR="00874605" w:rsidRDefault="0071775E" w:rsidP="002C0538">
      <w:pPr>
        <w:widowControl w:val="0"/>
        <w:autoSpaceDE w:val="0"/>
        <w:autoSpaceDN w:val="0"/>
        <w:adjustRightInd w:val="0"/>
        <w:spacing w:before="200" w:line="480" w:lineRule="auto"/>
        <w:contextualSpacing/>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relators filed a </w:t>
      </w:r>
      <w:r w:rsidRPr="002C0538">
        <w:rPr>
          <w:rFonts w:ascii="Times New Roman" w:hAnsi="Times New Roman" w:cs="Times New Roman"/>
          <w:i/>
          <w:color w:val="212121"/>
          <w:sz w:val="24"/>
          <w:szCs w:val="24"/>
        </w:rPr>
        <w:t>qui tam</w:t>
      </w:r>
      <w:r>
        <w:rPr>
          <w:rFonts w:ascii="Times New Roman" w:hAnsi="Times New Roman" w:cs="Times New Roman"/>
          <w:color w:val="212121"/>
          <w:sz w:val="24"/>
          <w:szCs w:val="24"/>
        </w:rPr>
        <w:t xml:space="preserve"> case, and the United States declined to intervene.  The district court dismissed the case for failure to state a claim under Fed.R.Civ.P. 12(b)(6), and relators appealed the dismissal to the Ninth Circuit.</w:t>
      </w:r>
      <w:r w:rsidR="00874605">
        <w:rPr>
          <w:rFonts w:ascii="Times New Roman" w:hAnsi="Times New Roman" w:cs="Times New Roman"/>
          <w:color w:val="212121"/>
          <w:sz w:val="24"/>
          <w:szCs w:val="24"/>
        </w:rPr>
        <w:t xml:space="preserve"> </w:t>
      </w:r>
      <w:r w:rsidR="002C0538">
        <w:rPr>
          <w:rFonts w:ascii="Times New Roman" w:hAnsi="Times New Roman" w:cs="Times New Roman"/>
          <w:color w:val="212121"/>
          <w:sz w:val="24"/>
          <w:szCs w:val="24"/>
        </w:rPr>
        <w:t>The Ninth Circuit reversed the district court, holding that the Relators’ complaint set forth various claims for relief under the False Claims Act.</w:t>
      </w:r>
    </w:p>
    <w:p w:rsidR="002C0538" w:rsidRDefault="002C0538" w:rsidP="00E30D93">
      <w:pPr>
        <w:widowControl w:val="0"/>
        <w:autoSpaceDE w:val="0"/>
        <w:autoSpaceDN w:val="0"/>
        <w:adjustRightInd w:val="0"/>
        <w:spacing w:before="200" w:line="480" w:lineRule="auto"/>
        <w:ind w:firstLine="720"/>
        <w:contextualSpacing/>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The </w:t>
      </w:r>
      <w:r w:rsidR="00874605">
        <w:rPr>
          <w:rFonts w:ascii="Times New Roman" w:hAnsi="Times New Roman" w:cs="Times New Roman"/>
          <w:color w:val="212121"/>
          <w:sz w:val="24"/>
          <w:szCs w:val="24"/>
        </w:rPr>
        <w:t>c</w:t>
      </w:r>
      <w:r>
        <w:rPr>
          <w:rFonts w:ascii="Times New Roman" w:hAnsi="Times New Roman" w:cs="Times New Roman"/>
          <w:color w:val="212121"/>
          <w:sz w:val="24"/>
          <w:szCs w:val="24"/>
        </w:rPr>
        <w:t xml:space="preserve">ourt </w:t>
      </w:r>
      <w:r w:rsidR="00193094">
        <w:rPr>
          <w:rFonts w:ascii="Times New Roman" w:hAnsi="Times New Roman" w:cs="Times New Roman"/>
          <w:color w:val="212121"/>
          <w:sz w:val="24"/>
          <w:szCs w:val="24"/>
        </w:rPr>
        <w:t xml:space="preserve">first </w:t>
      </w:r>
      <w:r w:rsidR="00F739D9">
        <w:rPr>
          <w:rFonts w:ascii="Times New Roman" w:hAnsi="Times New Roman" w:cs="Times New Roman"/>
          <w:color w:val="212121"/>
          <w:sz w:val="24"/>
          <w:szCs w:val="24"/>
        </w:rPr>
        <w:t>resolved</w:t>
      </w:r>
      <w:r w:rsidR="00193094">
        <w:rPr>
          <w:rFonts w:ascii="Times New Roman" w:hAnsi="Times New Roman" w:cs="Times New Roman"/>
          <w:color w:val="212121"/>
          <w:sz w:val="24"/>
          <w:szCs w:val="24"/>
        </w:rPr>
        <w:t xml:space="preserve"> the question of whether the Relators sufficiently alleged </w:t>
      </w:r>
      <w:r w:rsidR="00F739D9">
        <w:rPr>
          <w:rFonts w:ascii="Times New Roman" w:hAnsi="Times New Roman" w:cs="Times New Roman"/>
          <w:color w:val="212121"/>
          <w:sz w:val="24"/>
          <w:szCs w:val="24"/>
        </w:rPr>
        <w:t>that the defendant’s conduct resulted in the submissions of claims that were “false,” holding</w:t>
      </w:r>
      <w:r>
        <w:rPr>
          <w:rFonts w:ascii="Times New Roman" w:hAnsi="Times New Roman" w:cs="Times New Roman"/>
          <w:color w:val="212121"/>
          <w:sz w:val="24"/>
          <w:szCs w:val="24"/>
        </w:rPr>
        <w:t>:</w:t>
      </w:r>
    </w:p>
    <w:p w:rsidR="002C0538" w:rsidRDefault="002C0538" w:rsidP="002C0538">
      <w:pPr>
        <w:widowControl w:val="0"/>
        <w:autoSpaceDE w:val="0"/>
        <w:autoSpaceDN w:val="0"/>
        <w:adjustRightInd w:val="0"/>
        <w:spacing w:before="200"/>
        <w:ind w:left="720" w:right="720"/>
        <w:contextualSpacing/>
        <w:jc w:val="both"/>
        <w:rPr>
          <w:rFonts w:ascii="Times New Roman" w:hAnsi="Times New Roman" w:cs="Times New Roman"/>
          <w:color w:val="000000"/>
          <w:sz w:val="24"/>
          <w:szCs w:val="24"/>
        </w:rPr>
      </w:pPr>
      <w:r w:rsidRPr="002C0538">
        <w:rPr>
          <w:rFonts w:ascii="Times New Roman" w:hAnsi="Times New Roman" w:cs="Times New Roman"/>
          <w:color w:val="000000"/>
          <w:sz w:val="24"/>
          <w:szCs w:val="24"/>
        </w:rPr>
        <w:t xml:space="preserve">Here, relators allege false statements permeating the regulatory process. They allege Gilead mislabeled and misbranded nonconforming drugs and misrepresented its compliance with FDA regulations by omitting critical information. They allege that Gilead established policies and practices to violate the FDA’s regulatory requirements and allege specific instances of such violations, such as altering inventory codes, and mislabeling or altering shipping and tracking information. All the while, Gilead was submitting claims for payment for “FDA approved” drugs. Moreover, they allege that Gilead made false statements regarding test results in order to get FDA approval and thus become eligible for government funds. </w:t>
      </w:r>
      <w:r w:rsidR="00874605">
        <w:rPr>
          <w:rFonts w:ascii="Times New Roman" w:hAnsi="Times New Roman" w:cs="Times New Roman"/>
          <w:color w:val="000000"/>
          <w:sz w:val="24"/>
          <w:szCs w:val="24"/>
        </w:rPr>
        <w:t xml:space="preserve">… </w:t>
      </w:r>
      <w:r w:rsidRPr="002C0538">
        <w:rPr>
          <w:rFonts w:ascii="Times New Roman" w:hAnsi="Times New Roman" w:cs="Times New Roman"/>
          <w:color w:val="000000"/>
          <w:sz w:val="24"/>
          <w:szCs w:val="24"/>
        </w:rPr>
        <w:t>Relators adequately plead falsity under the False Claims Act. To hold otherwise would reduce FDA regulations akin to approval of the curate’s egg.</w:t>
      </w:r>
    </w:p>
    <w:p w:rsidR="002C0538" w:rsidRPr="002C0538" w:rsidRDefault="002C0538" w:rsidP="002C0538">
      <w:pPr>
        <w:widowControl w:val="0"/>
        <w:autoSpaceDE w:val="0"/>
        <w:autoSpaceDN w:val="0"/>
        <w:adjustRightInd w:val="0"/>
        <w:spacing w:before="200"/>
        <w:ind w:left="720" w:right="720"/>
        <w:contextualSpacing/>
        <w:jc w:val="both"/>
        <w:rPr>
          <w:rFonts w:ascii="Times New Roman" w:hAnsi="Times New Roman" w:cs="Times New Roman"/>
          <w:color w:val="000000"/>
          <w:sz w:val="24"/>
          <w:szCs w:val="24"/>
        </w:rPr>
      </w:pPr>
    </w:p>
    <w:p w:rsidR="002C0538" w:rsidRDefault="002C0538" w:rsidP="002C0538">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862 F.3d at 904.</w:t>
      </w:r>
    </w:p>
    <w:p w:rsidR="00F739D9" w:rsidRDefault="002C0538" w:rsidP="002C0538">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w:t>
      </w:r>
      <w:r w:rsidRPr="002C0538">
        <w:rPr>
          <w:rFonts w:ascii="Times New Roman" w:hAnsi="Times New Roman" w:cs="Times New Roman"/>
          <w:i/>
          <w:color w:val="212121"/>
          <w:sz w:val="24"/>
          <w:szCs w:val="24"/>
        </w:rPr>
        <w:t>Campie</w:t>
      </w:r>
      <w:r>
        <w:rPr>
          <w:rFonts w:ascii="Times New Roman" w:hAnsi="Times New Roman" w:cs="Times New Roman"/>
          <w:color w:val="212121"/>
          <w:sz w:val="24"/>
          <w:szCs w:val="24"/>
        </w:rPr>
        <w:t xml:space="preserve"> court </w:t>
      </w:r>
      <w:r w:rsidR="00F739D9">
        <w:rPr>
          <w:rFonts w:ascii="Times New Roman" w:hAnsi="Times New Roman" w:cs="Times New Roman"/>
          <w:color w:val="212121"/>
          <w:sz w:val="24"/>
          <w:szCs w:val="24"/>
        </w:rPr>
        <w:t>then turned to the question of whether the defendant’s false statements and claims were “material,” under the standards set forth in the Supreme Court’s</w:t>
      </w:r>
      <w:r w:rsidR="00874605">
        <w:rPr>
          <w:rFonts w:ascii="Times New Roman" w:hAnsi="Times New Roman" w:cs="Times New Roman"/>
          <w:color w:val="212121"/>
          <w:sz w:val="24"/>
          <w:szCs w:val="24"/>
        </w:rPr>
        <w:t xml:space="preserve"> decision in </w:t>
      </w:r>
      <w:r w:rsidR="00874605" w:rsidRPr="00874605">
        <w:rPr>
          <w:rFonts w:ascii="Times New Roman" w:hAnsi="Times New Roman" w:cs="Times New Roman"/>
          <w:i/>
          <w:color w:val="212121"/>
          <w:sz w:val="24"/>
          <w:szCs w:val="24"/>
        </w:rPr>
        <w:t>Universal Health Servs., Inc. v. United States</w:t>
      </w:r>
      <w:r w:rsidR="00874605">
        <w:rPr>
          <w:rFonts w:ascii="Times New Roman" w:hAnsi="Times New Roman" w:cs="Times New Roman"/>
          <w:color w:val="212121"/>
          <w:sz w:val="24"/>
          <w:szCs w:val="24"/>
        </w:rPr>
        <w:t xml:space="preserve">, 136 S.Ct. 1989 (2016).  </w:t>
      </w:r>
      <w:r w:rsidR="00F739D9">
        <w:rPr>
          <w:rFonts w:ascii="Times New Roman" w:hAnsi="Times New Roman" w:cs="Times New Roman"/>
          <w:color w:val="212121"/>
          <w:sz w:val="24"/>
          <w:szCs w:val="24"/>
        </w:rPr>
        <w:t xml:space="preserve">The </w:t>
      </w:r>
      <w:r w:rsidR="00874605" w:rsidRPr="00874605">
        <w:rPr>
          <w:rFonts w:ascii="Times New Roman" w:hAnsi="Times New Roman" w:cs="Times New Roman"/>
          <w:i/>
          <w:color w:val="212121"/>
          <w:sz w:val="24"/>
          <w:szCs w:val="24"/>
        </w:rPr>
        <w:t>Campie</w:t>
      </w:r>
      <w:r w:rsidR="00874605">
        <w:rPr>
          <w:rFonts w:ascii="Times New Roman" w:hAnsi="Times New Roman" w:cs="Times New Roman"/>
          <w:color w:val="212121"/>
          <w:sz w:val="24"/>
          <w:szCs w:val="24"/>
        </w:rPr>
        <w:t xml:space="preserve"> </w:t>
      </w:r>
      <w:r w:rsidR="00F739D9">
        <w:rPr>
          <w:rFonts w:ascii="Times New Roman" w:hAnsi="Times New Roman" w:cs="Times New Roman"/>
          <w:color w:val="212121"/>
          <w:sz w:val="24"/>
          <w:szCs w:val="24"/>
        </w:rPr>
        <w:t xml:space="preserve">court acknowledged: “It is undisputed that at all times relevant, the drugs at issue were FDA-approved, and that the government continues to make direct payments and provide reimbursements for the sale of the three drugs.  Relators thus face an uphill battle in alleging materiality sufficient to maintain their claims.”  </w:t>
      </w:r>
      <w:r w:rsidR="00F739D9" w:rsidRPr="00F739D9">
        <w:rPr>
          <w:rFonts w:ascii="Times New Roman" w:hAnsi="Times New Roman" w:cs="Times New Roman"/>
          <w:i/>
          <w:color w:val="212121"/>
          <w:sz w:val="24"/>
          <w:szCs w:val="24"/>
        </w:rPr>
        <w:t>Id</w:t>
      </w:r>
      <w:r w:rsidR="00F739D9">
        <w:rPr>
          <w:rFonts w:ascii="Times New Roman" w:hAnsi="Times New Roman" w:cs="Times New Roman"/>
          <w:color w:val="212121"/>
          <w:sz w:val="24"/>
          <w:szCs w:val="24"/>
        </w:rPr>
        <w:t xml:space="preserve">. </w:t>
      </w:r>
      <w:r w:rsidR="00874605">
        <w:rPr>
          <w:rFonts w:ascii="Times New Roman" w:hAnsi="Times New Roman" w:cs="Times New Roman"/>
          <w:color w:val="212121"/>
          <w:sz w:val="24"/>
          <w:szCs w:val="24"/>
        </w:rPr>
        <w:t xml:space="preserve">862 F.3d </w:t>
      </w:r>
      <w:r w:rsidR="00F739D9">
        <w:rPr>
          <w:rFonts w:ascii="Times New Roman" w:hAnsi="Times New Roman" w:cs="Times New Roman"/>
          <w:color w:val="212121"/>
          <w:sz w:val="24"/>
          <w:szCs w:val="24"/>
        </w:rPr>
        <w:t>at 905.  The court found, nonetheless, that the relators had alleged enough to survive a motion to dismiss their complaint.  The court held:</w:t>
      </w:r>
    </w:p>
    <w:p w:rsidR="00F739D9" w:rsidRDefault="00F739D9" w:rsidP="00F739D9">
      <w:pPr>
        <w:tabs>
          <w:tab w:val="left" w:pos="720"/>
          <w:tab w:val="left" w:pos="1263"/>
        </w:tabs>
        <w:ind w:left="720" w:right="720"/>
        <w:contextualSpacing/>
        <w:rPr>
          <w:rFonts w:ascii="Times New Roman" w:hAnsi="Times New Roman" w:cs="Times New Roman"/>
          <w:color w:val="212121"/>
          <w:sz w:val="24"/>
          <w:szCs w:val="24"/>
        </w:rPr>
      </w:pPr>
      <w:r w:rsidRPr="00F739D9">
        <w:rPr>
          <w:rFonts w:ascii="Times New Roman" w:hAnsi="Times New Roman" w:cs="Times New Roman"/>
          <w:color w:val="000000"/>
          <w:sz w:val="24"/>
          <w:szCs w:val="24"/>
        </w:rPr>
        <w:t xml:space="preserve">Relators and the United States persuasively argue, however, that to read too much into the FDA’s continued approval—and its effect on the government’s payment decision—would be a mistake. First, to do so would allow Gilead to use the allegedly fraudulently-obtained FDA approval as a shield against liability for fraud. Second, as argued by Gilead itself, there are many reasons the FDA may choose not to withdraw a drug approval, unrelated to the concern that the government paid out billions of dollars for nonconforming and adulterated drugs. Third, </w:t>
      </w:r>
      <w:r>
        <w:rPr>
          <w:rFonts w:ascii="Times New Roman" w:hAnsi="Times New Roman" w:cs="Times New Roman"/>
          <w:color w:val="000000"/>
          <w:sz w:val="24"/>
          <w:szCs w:val="24"/>
        </w:rPr>
        <w:t xml:space="preserve">… </w:t>
      </w:r>
      <w:r w:rsidRPr="00F739D9">
        <w:rPr>
          <w:rFonts w:ascii="Times New Roman" w:hAnsi="Times New Roman" w:cs="Times New Roman"/>
          <w:color w:val="000000"/>
          <w:sz w:val="24"/>
          <w:szCs w:val="24"/>
        </w:rPr>
        <w:t>Gilead ultimately stopped using FTC from Synthetics China. Once the unapproved and contaminated drugs were no longer being used, the government’s decision to keep paying for compliant drugs does not have the same significance as if the government continued to pay despite continued noncompliance.</w:t>
      </w:r>
    </w:p>
    <w:p w:rsidR="00F739D9" w:rsidRDefault="00F739D9" w:rsidP="00F739D9">
      <w:pPr>
        <w:tabs>
          <w:tab w:val="left" w:pos="720"/>
          <w:tab w:val="left" w:pos="1263"/>
        </w:tabs>
        <w:ind w:left="720" w:right="720"/>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p>
    <w:p w:rsidR="00F739D9" w:rsidRDefault="00F739D9" w:rsidP="002C0538">
      <w:pPr>
        <w:tabs>
          <w:tab w:val="left" w:pos="720"/>
          <w:tab w:val="left" w:pos="1263"/>
        </w:tabs>
        <w:spacing w:line="480" w:lineRule="auto"/>
        <w:rPr>
          <w:rFonts w:ascii="Times New Roman" w:hAnsi="Times New Roman" w:cs="Times New Roman"/>
          <w:color w:val="000000"/>
          <w:sz w:val="24"/>
          <w:szCs w:val="24"/>
        </w:rPr>
      </w:pPr>
      <w:r w:rsidRPr="00F739D9">
        <w:rPr>
          <w:rFonts w:ascii="Times New Roman" w:hAnsi="Times New Roman" w:cs="Times New Roman"/>
          <w:i/>
          <w:color w:val="212121"/>
          <w:sz w:val="24"/>
          <w:szCs w:val="24"/>
        </w:rPr>
        <w:t>Id</w:t>
      </w:r>
      <w:r>
        <w:rPr>
          <w:rFonts w:ascii="Times New Roman" w:hAnsi="Times New Roman" w:cs="Times New Roman"/>
          <w:color w:val="212121"/>
          <w:sz w:val="24"/>
          <w:szCs w:val="24"/>
        </w:rPr>
        <w:t>. at 90</w:t>
      </w:r>
      <w:r w:rsidR="000A4654">
        <w:rPr>
          <w:rFonts w:ascii="Times New Roman" w:hAnsi="Times New Roman" w:cs="Times New Roman"/>
          <w:color w:val="212121"/>
          <w:sz w:val="24"/>
          <w:szCs w:val="24"/>
        </w:rPr>
        <w:t>6</w:t>
      </w:r>
      <w:r>
        <w:rPr>
          <w:rFonts w:ascii="Times New Roman" w:hAnsi="Times New Roman" w:cs="Times New Roman"/>
          <w:color w:val="212121"/>
          <w:sz w:val="24"/>
          <w:szCs w:val="24"/>
        </w:rPr>
        <w:t xml:space="preserve">.  </w:t>
      </w:r>
      <w:r w:rsidR="000A4654">
        <w:rPr>
          <w:rFonts w:ascii="Times New Roman" w:hAnsi="Times New Roman" w:cs="Times New Roman"/>
          <w:color w:val="212121"/>
          <w:sz w:val="24"/>
          <w:szCs w:val="24"/>
        </w:rPr>
        <w:t>Finding that it lacked evidence as to “exactly what the government knew and when, calling into question its ‘actual knowledge,’” t</w:t>
      </w:r>
      <w:r>
        <w:rPr>
          <w:rFonts w:ascii="Times New Roman" w:hAnsi="Times New Roman" w:cs="Times New Roman"/>
          <w:color w:val="212121"/>
          <w:sz w:val="24"/>
          <w:szCs w:val="24"/>
        </w:rPr>
        <w:t xml:space="preserve">he court concluded, </w:t>
      </w:r>
      <w:r w:rsidRPr="00F739D9">
        <w:rPr>
          <w:rFonts w:ascii="Times New Roman" w:hAnsi="Times New Roman" w:cs="Times New Roman"/>
          <w:color w:val="212121"/>
          <w:sz w:val="24"/>
          <w:szCs w:val="24"/>
        </w:rPr>
        <w:t>“</w:t>
      </w:r>
      <w:r w:rsidRPr="00F739D9">
        <w:rPr>
          <w:rFonts w:ascii="Times New Roman" w:hAnsi="Times New Roman" w:cs="Times New Roman"/>
          <w:color w:val="000000"/>
          <w:sz w:val="24"/>
          <w:szCs w:val="24"/>
        </w:rPr>
        <w:t>The issues raised by the parties here are matters of proof, not legal grounds to dismiss relators’ complaint</w:t>
      </w:r>
      <w:r>
        <w:rPr>
          <w:rFonts w:ascii="Times New Roman" w:hAnsi="Times New Roman" w:cs="Times New Roman"/>
          <w:color w:val="000000"/>
          <w:sz w:val="24"/>
          <w:szCs w:val="24"/>
        </w:rPr>
        <w:t xml:space="preserve">.”  </w:t>
      </w:r>
      <w:r w:rsidRPr="00F739D9">
        <w:rPr>
          <w:rFonts w:ascii="Times New Roman" w:hAnsi="Times New Roman" w:cs="Times New Roman"/>
          <w:i/>
          <w:color w:val="000000"/>
          <w:sz w:val="24"/>
          <w:szCs w:val="24"/>
        </w:rPr>
        <w:t>Id</w:t>
      </w:r>
      <w:r>
        <w:rPr>
          <w:rFonts w:ascii="Times New Roman" w:hAnsi="Times New Roman" w:cs="Times New Roman"/>
          <w:color w:val="000000"/>
          <w:sz w:val="24"/>
          <w:szCs w:val="24"/>
        </w:rPr>
        <w:t>.</w:t>
      </w:r>
      <w:bookmarkStart w:id="2" w:name="co_footnoteReference_B00082042089152_ID0"/>
      <w:bookmarkEnd w:id="2"/>
    </w:p>
    <w:p w:rsidR="000A4654" w:rsidRDefault="000A4654" w:rsidP="002C0538">
      <w:pPr>
        <w:tabs>
          <w:tab w:val="left" w:pos="720"/>
          <w:tab w:val="left" w:pos="1263"/>
        </w:tabs>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court took into consideration several other cases, including </w:t>
      </w:r>
      <w:r w:rsidRPr="000A4654">
        <w:rPr>
          <w:rFonts w:ascii="Times New Roman" w:hAnsi="Times New Roman" w:cs="Times New Roman"/>
          <w:i/>
          <w:color w:val="212121"/>
          <w:sz w:val="24"/>
          <w:szCs w:val="24"/>
        </w:rPr>
        <w:t>D’Agostino</w:t>
      </w:r>
      <w:r>
        <w:rPr>
          <w:rFonts w:ascii="Times New Roman" w:hAnsi="Times New Roman" w:cs="Times New Roman"/>
          <w:color w:val="212121"/>
          <w:sz w:val="24"/>
          <w:szCs w:val="24"/>
        </w:rPr>
        <w:t xml:space="preserve">, in which courts of appeals had rejected theories of False Claims Act liability based on off-label marketing. The court distinguished those cases, saying:  </w:t>
      </w:r>
    </w:p>
    <w:p w:rsidR="000A4654" w:rsidRDefault="000A4654" w:rsidP="000A4654">
      <w:pPr>
        <w:tabs>
          <w:tab w:val="left" w:pos="720"/>
          <w:tab w:val="left" w:pos="1263"/>
        </w:tabs>
        <w:ind w:left="720" w:right="720"/>
        <w:contextualSpacing/>
        <w:rPr>
          <w:rFonts w:ascii="Times New Roman" w:hAnsi="Times New Roman" w:cs="Times New Roman"/>
          <w:color w:val="000000"/>
          <w:sz w:val="24"/>
          <w:szCs w:val="24"/>
        </w:rPr>
      </w:pPr>
      <w:r w:rsidRPr="000A4654">
        <w:rPr>
          <w:rFonts w:ascii="Times New Roman" w:hAnsi="Times New Roman" w:cs="Times New Roman"/>
          <w:color w:val="000000"/>
          <w:sz w:val="24"/>
          <w:szCs w:val="24"/>
        </w:rPr>
        <w:t>We note that other courts have cautioned against allowing claims under the False Claims Act to wade into the FDA’s regulatory regime.</w:t>
      </w:r>
      <w:r>
        <w:rPr>
          <w:rFonts w:ascii="Times New Roman" w:hAnsi="Times New Roman" w:cs="Times New Roman"/>
          <w:color w:val="000000"/>
          <w:sz w:val="24"/>
          <w:szCs w:val="24"/>
        </w:rPr>
        <w:t xml:space="preserve"> …</w:t>
      </w:r>
      <w:r w:rsidRPr="000A4654">
        <w:rPr>
          <w:rFonts w:ascii="Times New Roman" w:hAnsi="Times New Roman" w:cs="Times New Roman"/>
          <w:color w:val="000000"/>
          <w:sz w:val="24"/>
          <w:szCs w:val="24"/>
        </w:rPr>
        <w:t xml:space="preserve"> </w:t>
      </w:r>
      <w:bookmarkStart w:id="3" w:name="co_footnoteReference_B00092042089152_ID0"/>
      <w:bookmarkEnd w:id="3"/>
      <w:r w:rsidRPr="000A4654">
        <w:rPr>
          <w:rFonts w:ascii="Times New Roman" w:hAnsi="Times New Roman" w:cs="Times New Roman"/>
          <w:color w:val="000000"/>
          <w:sz w:val="24"/>
          <w:szCs w:val="24"/>
        </w:rPr>
        <w:t>However, just as it is not the purpose of the False Claims Act to ensure regulatory compliance, it is not the FDA’s purpose to prevent fraud on the government’s fisc. Mere FDA approval cannot preclude False Claims Act liability, especially where, as here, the alleged false claims procured certain approvals in the first instance</w:t>
      </w:r>
      <w:r>
        <w:rPr>
          <w:rFonts w:ascii="Times New Roman" w:hAnsi="Times New Roman" w:cs="Times New Roman"/>
          <w:color w:val="000000"/>
          <w:sz w:val="24"/>
          <w:szCs w:val="24"/>
        </w:rPr>
        <w:t>.</w:t>
      </w:r>
    </w:p>
    <w:p w:rsidR="000A4654" w:rsidRPr="000A4654" w:rsidRDefault="000A4654" w:rsidP="000A4654">
      <w:pPr>
        <w:tabs>
          <w:tab w:val="left" w:pos="720"/>
          <w:tab w:val="left" w:pos="1263"/>
        </w:tabs>
        <w:ind w:left="720" w:right="720"/>
        <w:contextualSpacing/>
        <w:rPr>
          <w:rFonts w:ascii="Times New Roman" w:hAnsi="Times New Roman" w:cs="Times New Roman"/>
          <w:color w:val="212121"/>
          <w:sz w:val="24"/>
          <w:szCs w:val="24"/>
        </w:rPr>
      </w:pPr>
    </w:p>
    <w:p w:rsidR="000A4654" w:rsidRDefault="000A4654" w:rsidP="002C0538">
      <w:pPr>
        <w:tabs>
          <w:tab w:val="left" w:pos="720"/>
          <w:tab w:val="left" w:pos="1263"/>
        </w:tabs>
        <w:spacing w:line="480" w:lineRule="auto"/>
        <w:rPr>
          <w:rFonts w:ascii="Times New Roman" w:hAnsi="Times New Roman" w:cs="Times New Roman"/>
          <w:color w:val="212121"/>
          <w:sz w:val="24"/>
          <w:szCs w:val="24"/>
        </w:rPr>
      </w:pPr>
      <w:r w:rsidRPr="000A4654">
        <w:rPr>
          <w:rFonts w:ascii="Times New Roman" w:hAnsi="Times New Roman" w:cs="Times New Roman"/>
          <w:i/>
          <w:color w:val="212121"/>
          <w:sz w:val="24"/>
          <w:szCs w:val="24"/>
        </w:rPr>
        <w:t>Id</w:t>
      </w:r>
      <w:r>
        <w:rPr>
          <w:rFonts w:ascii="Times New Roman" w:hAnsi="Times New Roman" w:cs="Times New Roman"/>
          <w:color w:val="212121"/>
          <w:sz w:val="24"/>
          <w:szCs w:val="24"/>
        </w:rPr>
        <w:t>. at 905 (citations omitted).</w:t>
      </w:r>
    </w:p>
    <w:p w:rsidR="005A4DB5" w:rsidRDefault="005A4DB5" w:rsidP="002C0538">
      <w:pPr>
        <w:tabs>
          <w:tab w:val="left" w:pos="720"/>
          <w:tab w:val="left" w:pos="1263"/>
        </w:tabs>
        <w:spacing w:line="480" w:lineRule="auto"/>
        <w:rPr>
          <w:rFonts w:ascii="Times New Roman" w:hAnsi="Times New Roman" w:cs="Times New Roman"/>
          <w:color w:val="212121"/>
          <w:sz w:val="24"/>
          <w:szCs w:val="24"/>
        </w:rPr>
      </w:pPr>
    </w:p>
    <w:p w:rsidR="00CD3DDA" w:rsidRPr="00644DB9" w:rsidRDefault="00C930B5" w:rsidP="003B0969">
      <w:pPr>
        <w:tabs>
          <w:tab w:val="left" w:pos="720"/>
          <w:tab w:val="left" w:pos="1263"/>
        </w:tabs>
        <w:spacing w:line="480" w:lineRule="auto"/>
        <w:rPr>
          <w:rFonts w:ascii="Times New Roman" w:hAnsi="Times New Roman" w:cs="Times New Roman"/>
          <w:i/>
          <w:color w:val="212121"/>
          <w:sz w:val="24"/>
          <w:szCs w:val="24"/>
        </w:rPr>
      </w:pPr>
      <w:r>
        <w:rPr>
          <w:rFonts w:ascii="Times New Roman" w:hAnsi="Times New Roman" w:cs="Times New Roman"/>
          <w:color w:val="212121"/>
          <w:sz w:val="24"/>
          <w:szCs w:val="24"/>
        </w:rPr>
        <w:tab/>
      </w:r>
      <w:r w:rsidR="007C416D">
        <w:rPr>
          <w:rFonts w:ascii="Times New Roman" w:hAnsi="Times New Roman" w:cs="Times New Roman"/>
          <w:color w:val="212121"/>
          <w:sz w:val="24"/>
          <w:szCs w:val="24"/>
        </w:rPr>
        <w:t xml:space="preserve"> </w:t>
      </w:r>
    </w:p>
    <w:p w:rsidR="006B6549" w:rsidRPr="00435FC5" w:rsidRDefault="003B0969" w:rsidP="003B0969">
      <w:pPr>
        <w:pStyle w:val="Heading1"/>
        <w:spacing w:line="480" w:lineRule="auto"/>
        <w:jc w:val="center"/>
        <w:rPr>
          <w:rFonts w:ascii="Times New Roman" w:hAnsi="Times New Roman" w:cs="Times New Roman"/>
          <w:b/>
          <w:i/>
          <w:sz w:val="24"/>
          <w:szCs w:val="24"/>
          <w:u w:val="single"/>
        </w:rPr>
      </w:pPr>
      <w:r>
        <w:rPr>
          <w:rFonts w:ascii="Times New Roman" w:hAnsi="Times New Roman" w:cs="Times New Roman"/>
          <w:b/>
          <w:i/>
          <w:color w:val="auto"/>
          <w:sz w:val="24"/>
          <w:szCs w:val="24"/>
          <w:u w:val="single"/>
        </w:rPr>
        <w:t>Brown</w:t>
      </w:r>
    </w:p>
    <w:p w:rsidR="006B6549" w:rsidRDefault="00EA3197" w:rsidP="003B0969">
      <w:pPr>
        <w:spacing w:line="480" w:lineRule="auto"/>
        <w:rPr>
          <w:rFonts w:ascii="Times New Roman" w:hAnsi="Times New Roman" w:cs="Times New Roman"/>
          <w:color w:val="212121"/>
          <w:sz w:val="24"/>
          <w:szCs w:val="24"/>
        </w:rPr>
      </w:pPr>
      <w:r>
        <w:rPr>
          <w:rFonts w:ascii="Times New Roman" w:hAnsi="Times New Roman" w:cs="Times New Roman"/>
          <w:sz w:val="24"/>
          <w:szCs w:val="24"/>
        </w:rPr>
        <w:tab/>
        <w:t xml:space="preserve">In </w:t>
      </w:r>
      <w:r w:rsidR="003B0969">
        <w:rPr>
          <w:rFonts w:ascii="Times New Roman" w:hAnsi="Times New Roman" w:cs="Times New Roman"/>
          <w:i/>
          <w:sz w:val="24"/>
          <w:szCs w:val="24"/>
        </w:rPr>
        <w:t>Brown</w:t>
      </w:r>
      <w:r>
        <w:rPr>
          <w:rFonts w:ascii="Times New Roman" w:hAnsi="Times New Roman" w:cs="Times New Roman"/>
          <w:sz w:val="24"/>
          <w:szCs w:val="24"/>
        </w:rPr>
        <w:t>, the pharmaceutical manufacturer Celgene Corp. agreed to pay $280</w:t>
      </w:r>
      <w:r w:rsidR="00D77938">
        <w:rPr>
          <w:rFonts w:ascii="Times New Roman" w:hAnsi="Times New Roman" w:cs="Times New Roman"/>
          <w:sz w:val="24"/>
          <w:szCs w:val="24"/>
        </w:rPr>
        <w:t xml:space="preserve"> million</w:t>
      </w:r>
      <w:r w:rsidR="0021368C">
        <w:rPr>
          <w:rFonts w:ascii="Times New Roman" w:hAnsi="Times New Roman" w:cs="Times New Roman"/>
          <w:sz w:val="24"/>
          <w:szCs w:val="24"/>
        </w:rPr>
        <w:t xml:space="preserve"> in July 2017</w:t>
      </w:r>
      <w:r>
        <w:rPr>
          <w:rFonts w:ascii="Times New Roman" w:hAnsi="Times New Roman" w:cs="Times New Roman"/>
          <w:sz w:val="24"/>
          <w:szCs w:val="24"/>
        </w:rPr>
        <w:t xml:space="preserve"> to settle fraud allegations </w:t>
      </w:r>
      <w:r w:rsidR="0021368C">
        <w:rPr>
          <w:rFonts w:ascii="Times New Roman" w:hAnsi="Times New Roman" w:cs="Times New Roman"/>
          <w:sz w:val="24"/>
          <w:szCs w:val="24"/>
        </w:rPr>
        <w:t xml:space="preserve">for the off-label promotion of two drugs for </w:t>
      </w:r>
      <w:r w:rsidR="00963E78">
        <w:rPr>
          <w:rFonts w:ascii="Times New Roman" w:hAnsi="Times New Roman" w:cs="Times New Roman"/>
          <w:sz w:val="24"/>
          <w:szCs w:val="24"/>
        </w:rPr>
        <w:t xml:space="preserve">cancer treatment, </w:t>
      </w:r>
      <w:r w:rsidR="0021368C">
        <w:rPr>
          <w:rFonts w:ascii="Times New Roman" w:hAnsi="Times New Roman" w:cs="Times New Roman"/>
          <w:sz w:val="24"/>
          <w:szCs w:val="24"/>
        </w:rPr>
        <w:t xml:space="preserve">uses </w:t>
      </w:r>
      <w:r w:rsidR="00963E78">
        <w:rPr>
          <w:rFonts w:ascii="Times New Roman" w:hAnsi="Times New Roman" w:cs="Times New Roman"/>
          <w:sz w:val="24"/>
          <w:szCs w:val="24"/>
        </w:rPr>
        <w:t>which had not</w:t>
      </w:r>
      <w:r w:rsidR="0021368C">
        <w:rPr>
          <w:rFonts w:ascii="Times New Roman" w:hAnsi="Times New Roman" w:cs="Times New Roman"/>
          <w:sz w:val="24"/>
          <w:szCs w:val="24"/>
        </w:rPr>
        <w:t xml:space="preserve"> approved by the FDA.</w:t>
      </w:r>
      <w:r w:rsidR="0021368C">
        <w:rPr>
          <w:rStyle w:val="FootnoteReference"/>
          <w:rFonts w:ascii="Times New Roman" w:hAnsi="Times New Roman" w:cs="Times New Roman"/>
          <w:sz w:val="24"/>
          <w:szCs w:val="24"/>
        </w:rPr>
        <w:footnoteReference w:id="2"/>
      </w:r>
      <w:r w:rsidR="0021368C">
        <w:rPr>
          <w:rFonts w:ascii="Times New Roman" w:hAnsi="Times New Roman" w:cs="Times New Roman"/>
          <w:sz w:val="24"/>
          <w:szCs w:val="24"/>
        </w:rPr>
        <w:t xml:space="preserve"> This followed the defendant’s mo</w:t>
      </w:r>
      <w:r w:rsidR="00963E78">
        <w:rPr>
          <w:rFonts w:ascii="Times New Roman" w:hAnsi="Times New Roman" w:cs="Times New Roman"/>
          <w:sz w:val="24"/>
          <w:szCs w:val="24"/>
        </w:rPr>
        <w:t>tion</w:t>
      </w:r>
      <w:r w:rsidR="0021368C">
        <w:rPr>
          <w:rFonts w:ascii="Times New Roman" w:hAnsi="Times New Roman" w:cs="Times New Roman"/>
          <w:sz w:val="24"/>
          <w:szCs w:val="24"/>
        </w:rPr>
        <w:t xml:space="preserve"> for summary judgment on all claims asserted by </w:t>
      </w:r>
      <w:r w:rsidR="00963E78">
        <w:rPr>
          <w:rFonts w:ascii="Times New Roman" w:hAnsi="Times New Roman" w:cs="Times New Roman"/>
          <w:sz w:val="24"/>
          <w:szCs w:val="24"/>
        </w:rPr>
        <w:t xml:space="preserve">the </w:t>
      </w:r>
      <w:r w:rsidR="0021368C">
        <w:rPr>
          <w:rFonts w:ascii="Times New Roman" w:hAnsi="Times New Roman" w:cs="Times New Roman"/>
          <w:sz w:val="24"/>
          <w:szCs w:val="24"/>
        </w:rPr>
        <w:t>relator</w:t>
      </w:r>
      <w:r w:rsidR="00963E78">
        <w:rPr>
          <w:rFonts w:ascii="Times New Roman" w:hAnsi="Times New Roman" w:cs="Times New Roman"/>
          <w:sz w:val="24"/>
          <w:szCs w:val="24"/>
        </w:rPr>
        <w:t>,</w:t>
      </w:r>
      <w:r w:rsidR="0021368C">
        <w:rPr>
          <w:rFonts w:ascii="Times New Roman" w:hAnsi="Times New Roman" w:cs="Times New Roman"/>
          <w:sz w:val="24"/>
          <w:szCs w:val="24"/>
        </w:rPr>
        <w:t xml:space="preserve"> Beverly Brown (“Brown”). </w:t>
      </w:r>
      <w:r w:rsidR="00963E78">
        <w:rPr>
          <w:rFonts w:ascii="Times New Roman" w:hAnsi="Times New Roman" w:cs="Times New Roman"/>
          <w:sz w:val="24"/>
          <w:szCs w:val="24"/>
        </w:rPr>
        <w:t xml:space="preserve"> Brown filed her </w:t>
      </w:r>
      <w:r w:rsidR="00963E78" w:rsidRPr="00E30D93">
        <w:rPr>
          <w:rFonts w:ascii="Times New Roman" w:hAnsi="Times New Roman" w:cs="Times New Roman"/>
          <w:i/>
          <w:sz w:val="24"/>
          <w:szCs w:val="24"/>
        </w:rPr>
        <w:t>qui tam</w:t>
      </w:r>
      <w:r w:rsidR="00963E78">
        <w:rPr>
          <w:rFonts w:ascii="Times New Roman" w:hAnsi="Times New Roman" w:cs="Times New Roman"/>
          <w:sz w:val="24"/>
          <w:szCs w:val="24"/>
        </w:rPr>
        <w:t xml:space="preserve"> suit i</w:t>
      </w:r>
      <w:r w:rsidR="0021368C">
        <w:rPr>
          <w:rFonts w:ascii="Times New Roman" w:hAnsi="Times New Roman" w:cs="Times New Roman"/>
          <w:sz w:val="24"/>
          <w:szCs w:val="24"/>
        </w:rPr>
        <w:t xml:space="preserve">n 2010, </w:t>
      </w:r>
      <w:r w:rsidR="00963E78">
        <w:rPr>
          <w:rFonts w:ascii="Times New Roman" w:hAnsi="Times New Roman" w:cs="Times New Roman"/>
          <w:sz w:val="24"/>
          <w:szCs w:val="24"/>
        </w:rPr>
        <w:t>alleging</w:t>
      </w:r>
      <w:r w:rsidR="00B536A0">
        <w:rPr>
          <w:rFonts w:ascii="Times New Roman" w:hAnsi="Times New Roman" w:cs="Times New Roman"/>
          <w:sz w:val="24"/>
          <w:szCs w:val="24"/>
        </w:rPr>
        <w:t>, among other things,</w:t>
      </w:r>
      <w:r w:rsidR="00963E78">
        <w:rPr>
          <w:rFonts w:ascii="Times New Roman" w:hAnsi="Times New Roman" w:cs="Times New Roman"/>
          <w:sz w:val="24"/>
          <w:szCs w:val="24"/>
        </w:rPr>
        <w:t xml:space="preserve"> that</w:t>
      </w:r>
      <w:r w:rsidR="00C03F3E">
        <w:rPr>
          <w:rFonts w:ascii="Times New Roman" w:hAnsi="Times New Roman" w:cs="Times New Roman"/>
          <w:sz w:val="24"/>
          <w:szCs w:val="24"/>
        </w:rPr>
        <w:t xml:space="preserve"> Celgene</w:t>
      </w:r>
      <w:r w:rsidR="006B6549" w:rsidRPr="001146E1">
        <w:rPr>
          <w:rFonts w:ascii="Times New Roman" w:hAnsi="Times New Roman" w:cs="Times New Roman"/>
          <w:sz w:val="24"/>
          <w:szCs w:val="24"/>
        </w:rPr>
        <w:t xml:space="preserve"> </w:t>
      </w:r>
      <w:r w:rsidR="00B536A0">
        <w:rPr>
          <w:rFonts w:ascii="Times New Roman" w:hAnsi="Times New Roman" w:cs="Times New Roman"/>
          <w:sz w:val="24"/>
          <w:szCs w:val="24"/>
        </w:rPr>
        <w:t>violated the False Claims Act by engaging i</w:t>
      </w:r>
      <w:r w:rsidR="006B6549" w:rsidRPr="001146E1">
        <w:rPr>
          <w:rFonts w:ascii="Times New Roman" w:hAnsi="Times New Roman" w:cs="Times New Roman"/>
          <w:sz w:val="24"/>
          <w:szCs w:val="24"/>
        </w:rPr>
        <w:t xml:space="preserve">n an unlawful campaign to promote </w:t>
      </w:r>
      <w:r w:rsidR="00C03F3E">
        <w:rPr>
          <w:rFonts w:ascii="Times New Roman" w:hAnsi="Times New Roman" w:cs="Times New Roman"/>
          <w:sz w:val="24"/>
          <w:szCs w:val="24"/>
        </w:rPr>
        <w:t xml:space="preserve">the drugs Thalomid and Revlimid </w:t>
      </w:r>
      <w:r w:rsidR="00963E78">
        <w:rPr>
          <w:rFonts w:ascii="Times New Roman" w:hAnsi="Times New Roman" w:cs="Times New Roman"/>
          <w:sz w:val="24"/>
          <w:szCs w:val="24"/>
        </w:rPr>
        <w:t>for</w:t>
      </w:r>
      <w:r w:rsidR="006B6549" w:rsidRPr="001146E1">
        <w:rPr>
          <w:rFonts w:ascii="Times New Roman" w:hAnsi="Times New Roman" w:cs="Times New Roman"/>
          <w:sz w:val="24"/>
          <w:szCs w:val="24"/>
        </w:rPr>
        <w:t xml:space="preserve"> off-label </w:t>
      </w:r>
      <w:r w:rsidR="00963E78">
        <w:rPr>
          <w:rFonts w:ascii="Times New Roman" w:hAnsi="Times New Roman" w:cs="Times New Roman"/>
          <w:sz w:val="24"/>
          <w:szCs w:val="24"/>
        </w:rPr>
        <w:t xml:space="preserve">use </w:t>
      </w:r>
      <w:r w:rsidR="00C03F3E">
        <w:rPr>
          <w:rFonts w:ascii="Times New Roman" w:hAnsi="Times New Roman" w:cs="Times New Roman"/>
          <w:sz w:val="24"/>
          <w:szCs w:val="24"/>
        </w:rPr>
        <w:t>in the treatment of cancer patients</w:t>
      </w:r>
      <w:r w:rsidR="005C00DF" w:rsidRPr="0021368C">
        <w:rPr>
          <w:rFonts w:ascii="Times New Roman" w:hAnsi="Times New Roman" w:cs="Times New Roman"/>
          <w:color w:val="212121"/>
          <w:sz w:val="24"/>
          <w:szCs w:val="24"/>
        </w:rPr>
        <w:t xml:space="preserve">. </w:t>
      </w:r>
    </w:p>
    <w:p w:rsidR="00E30D93" w:rsidRDefault="00622F74" w:rsidP="0021368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Thalomid received FDA approval in July 1998 for </w:t>
      </w:r>
      <w:r w:rsidR="00E30D93">
        <w:rPr>
          <w:rFonts w:ascii="Times New Roman" w:hAnsi="Times New Roman" w:cs="Times New Roman"/>
          <w:color w:val="212121"/>
          <w:sz w:val="24"/>
          <w:szCs w:val="24"/>
        </w:rPr>
        <w:t>the treatment of a</w:t>
      </w:r>
      <w:r w:rsidRPr="00622F74">
        <w:rPr>
          <w:rFonts w:ascii="Times New Roman" w:hAnsi="Times New Roman" w:cs="Times New Roman"/>
          <w:color w:val="212121"/>
          <w:sz w:val="24"/>
          <w:szCs w:val="24"/>
        </w:rPr>
        <w:t xml:space="preserve"> complication associated with leprosy</w:t>
      </w:r>
      <w:r w:rsidR="00E30D93">
        <w:rPr>
          <w:rFonts w:ascii="Times New Roman" w:hAnsi="Times New Roman" w:cs="Times New Roman"/>
          <w:color w:val="212121"/>
          <w:sz w:val="24"/>
          <w:szCs w:val="24"/>
        </w:rPr>
        <w:t xml:space="preserve">; later, </w:t>
      </w:r>
      <w:r>
        <w:rPr>
          <w:rFonts w:ascii="Times New Roman" w:hAnsi="Times New Roman" w:cs="Times New Roman"/>
          <w:color w:val="212121"/>
          <w:sz w:val="24"/>
          <w:szCs w:val="24"/>
        </w:rPr>
        <w:t>in May 2006</w:t>
      </w:r>
      <w:r w:rsidR="00E30D93">
        <w:rPr>
          <w:rFonts w:ascii="Times New Roman" w:hAnsi="Times New Roman" w:cs="Times New Roman"/>
          <w:color w:val="212121"/>
          <w:sz w:val="24"/>
          <w:szCs w:val="24"/>
        </w:rPr>
        <w:t xml:space="preserve">, </w:t>
      </w:r>
      <w:r w:rsidR="00B536A0">
        <w:rPr>
          <w:rFonts w:ascii="Times New Roman" w:hAnsi="Times New Roman" w:cs="Times New Roman"/>
          <w:color w:val="212121"/>
          <w:sz w:val="24"/>
          <w:szCs w:val="24"/>
        </w:rPr>
        <w:t>the drug</w:t>
      </w:r>
      <w:r w:rsidR="00E30D93">
        <w:rPr>
          <w:rFonts w:ascii="Times New Roman" w:hAnsi="Times New Roman" w:cs="Times New Roman"/>
          <w:color w:val="212121"/>
          <w:sz w:val="24"/>
          <w:szCs w:val="24"/>
        </w:rPr>
        <w:t xml:space="preserve"> was approved</w:t>
      </w:r>
      <w:r>
        <w:rPr>
          <w:rFonts w:ascii="Times New Roman" w:hAnsi="Times New Roman" w:cs="Times New Roman"/>
          <w:color w:val="212121"/>
          <w:sz w:val="24"/>
          <w:szCs w:val="24"/>
        </w:rPr>
        <w:t xml:space="preserve"> for </w:t>
      </w:r>
      <w:r w:rsidR="00E30D93">
        <w:rPr>
          <w:rFonts w:ascii="Times New Roman" w:hAnsi="Times New Roman" w:cs="Times New Roman"/>
          <w:color w:val="212121"/>
          <w:sz w:val="24"/>
          <w:szCs w:val="24"/>
        </w:rPr>
        <w:t xml:space="preserve">the treatment of </w:t>
      </w:r>
      <w:r w:rsidRPr="00622F74">
        <w:rPr>
          <w:rFonts w:ascii="Times New Roman" w:hAnsi="Times New Roman" w:cs="Times New Roman"/>
          <w:color w:val="212121"/>
          <w:sz w:val="24"/>
          <w:szCs w:val="24"/>
        </w:rPr>
        <w:t>multiple myeloma</w:t>
      </w:r>
      <w:r w:rsidR="00E30D93">
        <w:rPr>
          <w:rFonts w:ascii="Times New Roman" w:hAnsi="Times New Roman" w:cs="Times New Roman"/>
          <w:color w:val="212121"/>
          <w:sz w:val="24"/>
          <w:szCs w:val="24"/>
        </w:rPr>
        <w:t xml:space="preserve"> (“MM”), </w:t>
      </w:r>
      <w:r w:rsidR="00D77938">
        <w:rPr>
          <w:rFonts w:ascii="Times New Roman" w:hAnsi="Times New Roman" w:cs="Times New Roman"/>
          <w:color w:val="212121"/>
          <w:sz w:val="24"/>
          <w:szCs w:val="24"/>
        </w:rPr>
        <w:t>a form of canc</w:t>
      </w:r>
      <w:r w:rsidR="00E30D93">
        <w:rPr>
          <w:rFonts w:ascii="Times New Roman" w:hAnsi="Times New Roman" w:cs="Times New Roman"/>
          <w:color w:val="212121"/>
          <w:sz w:val="24"/>
          <w:szCs w:val="24"/>
        </w:rPr>
        <w:t>er</w:t>
      </w:r>
      <w:r w:rsidRPr="00622F74">
        <w:rPr>
          <w:rFonts w:ascii="Times New Roman" w:hAnsi="Times New Roman" w:cs="Times New Roman"/>
          <w:color w:val="212121"/>
          <w:sz w:val="24"/>
          <w:szCs w:val="24"/>
        </w:rPr>
        <w:t xml:space="preserve">. </w:t>
      </w:r>
      <w:r w:rsidR="00E30D93">
        <w:rPr>
          <w:rFonts w:ascii="Times New Roman" w:hAnsi="Times New Roman" w:cs="Times New Roman"/>
          <w:color w:val="212121"/>
          <w:sz w:val="24"/>
          <w:szCs w:val="24"/>
        </w:rPr>
        <w:t xml:space="preserve"> </w:t>
      </w:r>
      <w:r w:rsidRPr="00622F74">
        <w:rPr>
          <w:rFonts w:ascii="Times New Roman" w:hAnsi="Times New Roman" w:cs="Times New Roman"/>
          <w:color w:val="212121"/>
          <w:sz w:val="24"/>
          <w:szCs w:val="24"/>
        </w:rPr>
        <w:t>Revlimid first received FDA approval in December 2005 for “the treatment of patients with transfusion dependent anemia</w:t>
      </w:r>
      <w:r w:rsidR="00E30D93">
        <w:rPr>
          <w:rFonts w:ascii="Times New Roman" w:hAnsi="Times New Roman" w:cs="Times New Roman"/>
          <w:color w:val="212121"/>
          <w:sz w:val="24"/>
          <w:szCs w:val="24"/>
        </w:rPr>
        <w:t>,</w:t>
      </w:r>
      <w:r>
        <w:rPr>
          <w:rFonts w:ascii="Times New Roman" w:hAnsi="Times New Roman" w:cs="Times New Roman"/>
          <w:color w:val="212121"/>
          <w:sz w:val="24"/>
          <w:szCs w:val="24"/>
        </w:rPr>
        <w:t>” and</w:t>
      </w:r>
      <w:r w:rsidR="00E30D93">
        <w:rPr>
          <w:rFonts w:ascii="Times New Roman" w:hAnsi="Times New Roman" w:cs="Times New Roman"/>
          <w:color w:val="212121"/>
          <w:sz w:val="24"/>
          <w:szCs w:val="24"/>
        </w:rPr>
        <w:t xml:space="preserve"> then</w:t>
      </w:r>
      <w:r>
        <w:rPr>
          <w:rFonts w:ascii="Times New Roman" w:hAnsi="Times New Roman" w:cs="Times New Roman"/>
          <w:color w:val="212121"/>
          <w:sz w:val="24"/>
          <w:szCs w:val="24"/>
        </w:rPr>
        <w:t xml:space="preserve"> i</w:t>
      </w:r>
      <w:r w:rsidRPr="00622F74">
        <w:rPr>
          <w:rFonts w:ascii="Times New Roman" w:hAnsi="Times New Roman" w:cs="Times New Roman"/>
          <w:color w:val="212121"/>
          <w:sz w:val="24"/>
          <w:szCs w:val="24"/>
        </w:rPr>
        <w:t xml:space="preserve">n June 2006 for MM patients. In June 2013, the FDA </w:t>
      </w:r>
      <w:r w:rsidR="00E30D93">
        <w:rPr>
          <w:rFonts w:ascii="Times New Roman" w:hAnsi="Times New Roman" w:cs="Times New Roman"/>
          <w:color w:val="212121"/>
          <w:sz w:val="24"/>
          <w:szCs w:val="24"/>
        </w:rPr>
        <w:t xml:space="preserve">also </w:t>
      </w:r>
      <w:r w:rsidRPr="00622F74">
        <w:rPr>
          <w:rFonts w:ascii="Times New Roman" w:hAnsi="Times New Roman" w:cs="Times New Roman"/>
          <w:color w:val="212121"/>
          <w:sz w:val="24"/>
          <w:szCs w:val="24"/>
        </w:rPr>
        <w:t xml:space="preserve">approved Revlimid </w:t>
      </w:r>
      <w:r w:rsidR="00E30D93">
        <w:rPr>
          <w:rFonts w:ascii="Times New Roman" w:hAnsi="Times New Roman" w:cs="Times New Roman"/>
          <w:color w:val="212121"/>
          <w:sz w:val="24"/>
          <w:szCs w:val="24"/>
        </w:rPr>
        <w:t xml:space="preserve">for the treatment of </w:t>
      </w:r>
      <w:r w:rsidRPr="00622F74">
        <w:rPr>
          <w:rFonts w:ascii="Times New Roman" w:hAnsi="Times New Roman" w:cs="Times New Roman"/>
          <w:color w:val="212121"/>
          <w:sz w:val="24"/>
          <w:szCs w:val="24"/>
        </w:rPr>
        <w:t xml:space="preserve">mantle cell lymphoma patients “whose disease has relapsed or progressed after two prior therapies, one of which included bortzezombid.” </w:t>
      </w:r>
      <w:r w:rsidR="00E30D93" w:rsidRPr="001146E1">
        <w:rPr>
          <w:rFonts w:ascii="Times New Roman" w:hAnsi="Times New Roman" w:cs="Times New Roman"/>
          <w:sz w:val="24"/>
          <w:szCs w:val="24"/>
        </w:rPr>
        <w:t xml:space="preserve">226 F.Supp.3d </w:t>
      </w:r>
      <w:r>
        <w:rPr>
          <w:rFonts w:ascii="Times New Roman" w:hAnsi="Times New Roman" w:cs="Times New Roman"/>
          <w:color w:val="212121"/>
          <w:sz w:val="24"/>
          <w:szCs w:val="24"/>
        </w:rPr>
        <w:t>at 1035.</w:t>
      </w:r>
    </w:p>
    <w:p w:rsidR="00622F74" w:rsidRPr="00622F74" w:rsidRDefault="00622F74" w:rsidP="00B536A0">
      <w:pPr>
        <w:spacing w:line="480" w:lineRule="auto"/>
        <w:ind w:firstLine="720"/>
        <w:rPr>
          <w:rFonts w:ascii="Times New Roman" w:hAnsi="Times New Roman" w:cs="Times New Roman"/>
          <w:color w:val="212121"/>
          <w:sz w:val="24"/>
          <w:szCs w:val="24"/>
        </w:rPr>
      </w:pPr>
      <w:r w:rsidRPr="00622F74">
        <w:rPr>
          <w:rFonts w:ascii="Times New Roman" w:hAnsi="Times New Roman" w:cs="Times New Roman"/>
          <w:color w:val="212121"/>
          <w:sz w:val="24"/>
          <w:szCs w:val="24"/>
        </w:rPr>
        <w:t>Brown was hired</w:t>
      </w:r>
      <w:r>
        <w:rPr>
          <w:rFonts w:ascii="Times New Roman" w:hAnsi="Times New Roman" w:cs="Times New Roman"/>
          <w:color w:val="212121"/>
          <w:sz w:val="24"/>
          <w:szCs w:val="24"/>
        </w:rPr>
        <w:t xml:space="preserve"> by Celgene</w:t>
      </w:r>
      <w:r w:rsidRPr="00622F74">
        <w:rPr>
          <w:rFonts w:ascii="Times New Roman" w:hAnsi="Times New Roman" w:cs="Times New Roman"/>
          <w:color w:val="212121"/>
          <w:sz w:val="24"/>
          <w:szCs w:val="24"/>
        </w:rPr>
        <w:t xml:space="preserve"> in April 2001 as an “Immunology Specialist,” although she actually performed sales work. In 2007, Brown became concerned when her manager instructed her to call physicians' offices to ask them to change </w:t>
      </w:r>
      <w:r>
        <w:rPr>
          <w:rFonts w:ascii="Times New Roman" w:hAnsi="Times New Roman" w:cs="Times New Roman"/>
          <w:color w:val="212121"/>
          <w:sz w:val="24"/>
          <w:szCs w:val="24"/>
        </w:rPr>
        <w:t>billing codes</w:t>
      </w:r>
      <w:r w:rsidR="005239F8">
        <w:rPr>
          <w:rFonts w:ascii="Times New Roman" w:hAnsi="Times New Roman" w:cs="Times New Roman"/>
          <w:color w:val="212121"/>
          <w:sz w:val="24"/>
          <w:szCs w:val="24"/>
        </w:rPr>
        <w:t xml:space="preserve"> associated with prescriptions of Celgene drugs</w:t>
      </w:r>
      <w:r>
        <w:rPr>
          <w:rFonts w:ascii="Times New Roman" w:hAnsi="Times New Roman" w:cs="Times New Roman"/>
          <w:color w:val="212121"/>
          <w:sz w:val="24"/>
          <w:szCs w:val="24"/>
        </w:rPr>
        <w:t xml:space="preserve">. </w:t>
      </w:r>
      <w:r w:rsidRPr="00622F74">
        <w:rPr>
          <w:rFonts w:ascii="Times New Roman" w:hAnsi="Times New Roman" w:cs="Times New Roman"/>
          <w:color w:val="212121"/>
          <w:sz w:val="24"/>
          <w:szCs w:val="24"/>
        </w:rPr>
        <w:t xml:space="preserve">Brown sent a letter to management </w:t>
      </w:r>
      <w:r>
        <w:rPr>
          <w:rFonts w:ascii="Times New Roman" w:hAnsi="Times New Roman" w:cs="Times New Roman"/>
          <w:color w:val="212121"/>
          <w:sz w:val="24"/>
          <w:szCs w:val="24"/>
        </w:rPr>
        <w:t>complain</w:t>
      </w:r>
      <w:r w:rsidR="00E30D93">
        <w:rPr>
          <w:rFonts w:ascii="Times New Roman" w:hAnsi="Times New Roman" w:cs="Times New Roman"/>
          <w:color w:val="212121"/>
          <w:sz w:val="24"/>
          <w:szCs w:val="24"/>
        </w:rPr>
        <w:t>ing</w:t>
      </w:r>
      <w:r>
        <w:rPr>
          <w:rFonts w:ascii="Times New Roman" w:hAnsi="Times New Roman" w:cs="Times New Roman"/>
          <w:color w:val="212121"/>
          <w:sz w:val="24"/>
          <w:szCs w:val="24"/>
        </w:rPr>
        <w:t xml:space="preserve"> about this practice</w:t>
      </w:r>
      <w:r w:rsidR="00E30D93">
        <w:rPr>
          <w:rFonts w:ascii="Times New Roman" w:hAnsi="Times New Roman" w:cs="Times New Roman"/>
          <w:color w:val="212121"/>
          <w:sz w:val="24"/>
          <w:szCs w:val="24"/>
        </w:rPr>
        <w:t>,</w:t>
      </w:r>
      <w:r>
        <w:rPr>
          <w:rFonts w:ascii="Times New Roman" w:hAnsi="Times New Roman" w:cs="Times New Roman"/>
          <w:color w:val="212121"/>
          <w:sz w:val="24"/>
          <w:szCs w:val="24"/>
        </w:rPr>
        <w:t xml:space="preserve"> and</w:t>
      </w:r>
      <w:r w:rsidRPr="00622F74">
        <w:rPr>
          <w:rFonts w:ascii="Times New Roman" w:hAnsi="Times New Roman" w:cs="Times New Roman"/>
          <w:color w:val="212121"/>
          <w:sz w:val="24"/>
          <w:szCs w:val="24"/>
        </w:rPr>
        <w:t xml:space="preserve"> </w:t>
      </w:r>
      <w:r w:rsidR="00E30D93">
        <w:rPr>
          <w:rFonts w:ascii="Times New Roman" w:hAnsi="Times New Roman" w:cs="Times New Roman"/>
          <w:color w:val="212121"/>
          <w:sz w:val="24"/>
          <w:szCs w:val="24"/>
        </w:rPr>
        <w:t xml:space="preserve">she </w:t>
      </w:r>
      <w:r w:rsidRPr="00622F74">
        <w:rPr>
          <w:rFonts w:ascii="Times New Roman" w:hAnsi="Times New Roman" w:cs="Times New Roman"/>
          <w:color w:val="212121"/>
          <w:sz w:val="24"/>
          <w:szCs w:val="24"/>
        </w:rPr>
        <w:t xml:space="preserve">later contacted the FDA and legal counsel. </w:t>
      </w:r>
      <w:r w:rsidR="00E30D93">
        <w:rPr>
          <w:rFonts w:ascii="Times New Roman" w:hAnsi="Times New Roman" w:cs="Times New Roman"/>
          <w:color w:val="212121"/>
          <w:sz w:val="24"/>
          <w:szCs w:val="24"/>
        </w:rPr>
        <w:t>I</w:t>
      </w:r>
      <w:r w:rsidRPr="00622F74">
        <w:rPr>
          <w:rFonts w:ascii="Times New Roman" w:hAnsi="Times New Roman" w:cs="Times New Roman"/>
          <w:color w:val="212121"/>
          <w:sz w:val="24"/>
          <w:szCs w:val="24"/>
        </w:rPr>
        <w:t>n Apr</w:t>
      </w:r>
      <w:r w:rsidR="00E30D93">
        <w:rPr>
          <w:rFonts w:ascii="Times New Roman" w:hAnsi="Times New Roman" w:cs="Times New Roman"/>
          <w:color w:val="212121"/>
          <w:sz w:val="24"/>
          <w:szCs w:val="24"/>
        </w:rPr>
        <w:t xml:space="preserve">il </w:t>
      </w:r>
      <w:r w:rsidRPr="00622F74">
        <w:rPr>
          <w:rFonts w:ascii="Times New Roman" w:hAnsi="Times New Roman" w:cs="Times New Roman"/>
          <w:color w:val="212121"/>
          <w:sz w:val="24"/>
          <w:szCs w:val="24"/>
        </w:rPr>
        <w:t xml:space="preserve">2010, Brown, </w:t>
      </w:r>
      <w:r w:rsidR="00E30D93">
        <w:rPr>
          <w:rFonts w:ascii="Times New Roman" w:hAnsi="Times New Roman" w:cs="Times New Roman"/>
          <w:color w:val="212121"/>
          <w:sz w:val="24"/>
          <w:szCs w:val="24"/>
        </w:rPr>
        <w:t xml:space="preserve">acting </w:t>
      </w:r>
      <w:r w:rsidRPr="00622F74">
        <w:rPr>
          <w:rFonts w:ascii="Times New Roman" w:hAnsi="Times New Roman" w:cs="Times New Roman"/>
          <w:color w:val="212121"/>
          <w:sz w:val="24"/>
          <w:szCs w:val="24"/>
        </w:rPr>
        <w:t>on behalf of the United States</w:t>
      </w:r>
      <w:r w:rsidR="00E30D93">
        <w:rPr>
          <w:rFonts w:ascii="Times New Roman" w:hAnsi="Times New Roman" w:cs="Times New Roman"/>
          <w:color w:val="212121"/>
          <w:sz w:val="24"/>
          <w:szCs w:val="24"/>
        </w:rPr>
        <w:t xml:space="preserve"> as well as various states and other government entities,</w:t>
      </w:r>
      <w:r w:rsidR="00E30D93" w:rsidRPr="00E30D93">
        <w:rPr>
          <w:rFonts w:ascii="Times New Roman" w:hAnsi="Times New Roman" w:cs="Times New Roman"/>
          <w:color w:val="212121"/>
          <w:sz w:val="24"/>
          <w:szCs w:val="24"/>
        </w:rPr>
        <w:t xml:space="preserve"> </w:t>
      </w:r>
      <w:r w:rsidR="00E30D93" w:rsidRPr="00622F74">
        <w:rPr>
          <w:rFonts w:ascii="Times New Roman" w:hAnsi="Times New Roman" w:cs="Times New Roman"/>
          <w:color w:val="212121"/>
          <w:sz w:val="24"/>
          <w:szCs w:val="24"/>
        </w:rPr>
        <w:t xml:space="preserve">initiated this </w:t>
      </w:r>
      <w:r w:rsidR="00E30D93" w:rsidRPr="00622F74">
        <w:rPr>
          <w:rFonts w:ascii="Times New Roman" w:hAnsi="Times New Roman" w:cs="Times New Roman"/>
          <w:i/>
          <w:color w:val="212121"/>
          <w:sz w:val="24"/>
          <w:szCs w:val="24"/>
        </w:rPr>
        <w:t>qui tam</w:t>
      </w:r>
      <w:r w:rsidR="00E30D93" w:rsidRPr="00622F74">
        <w:rPr>
          <w:rFonts w:ascii="Times New Roman" w:hAnsi="Times New Roman" w:cs="Times New Roman"/>
          <w:color w:val="212121"/>
          <w:sz w:val="24"/>
          <w:szCs w:val="24"/>
        </w:rPr>
        <w:t xml:space="preserve"> action against Celgene</w:t>
      </w:r>
      <w:r w:rsidRPr="00622F74">
        <w:rPr>
          <w:rFonts w:ascii="Times New Roman" w:hAnsi="Times New Roman" w:cs="Times New Roman"/>
          <w:color w:val="212121"/>
          <w:sz w:val="24"/>
          <w:szCs w:val="24"/>
        </w:rPr>
        <w:t xml:space="preserve">. These governmental entities </w:t>
      </w:r>
      <w:r w:rsidR="00E30D93">
        <w:rPr>
          <w:rFonts w:ascii="Times New Roman" w:hAnsi="Times New Roman" w:cs="Times New Roman"/>
          <w:color w:val="212121"/>
          <w:sz w:val="24"/>
          <w:szCs w:val="24"/>
        </w:rPr>
        <w:t xml:space="preserve">all </w:t>
      </w:r>
      <w:r w:rsidRPr="00622F74">
        <w:rPr>
          <w:rFonts w:ascii="Times New Roman" w:hAnsi="Times New Roman" w:cs="Times New Roman"/>
          <w:color w:val="212121"/>
          <w:sz w:val="24"/>
          <w:szCs w:val="24"/>
        </w:rPr>
        <w:t xml:space="preserve">declined to intervene. The case was unsealed, and the complaint was served </w:t>
      </w:r>
      <w:r w:rsidR="00E30D93">
        <w:rPr>
          <w:rFonts w:ascii="Times New Roman" w:hAnsi="Times New Roman" w:cs="Times New Roman"/>
          <w:color w:val="212121"/>
          <w:sz w:val="24"/>
          <w:szCs w:val="24"/>
        </w:rPr>
        <w:t>i</w:t>
      </w:r>
      <w:r w:rsidRPr="00622F74">
        <w:rPr>
          <w:rFonts w:ascii="Times New Roman" w:hAnsi="Times New Roman" w:cs="Times New Roman"/>
          <w:color w:val="212121"/>
          <w:sz w:val="24"/>
          <w:szCs w:val="24"/>
        </w:rPr>
        <w:t xml:space="preserve">n October 2013. </w:t>
      </w:r>
      <w:r w:rsidR="00E30D93">
        <w:rPr>
          <w:rFonts w:ascii="Times New Roman" w:hAnsi="Times New Roman" w:cs="Times New Roman"/>
          <w:color w:val="212121"/>
          <w:sz w:val="24"/>
          <w:szCs w:val="24"/>
        </w:rPr>
        <w:t>I</w:t>
      </w:r>
      <w:r w:rsidRPr="00622F74">
        <w:rPr>
          <w:rFonts w:ascii="Times New Roman" w:hAnsi="Times New Roman" w:cs="Times New Roman"/>
          <w:color w:val="212121"/>
          <w:sz w:val="24"/>
          <w:szCs w:val="24"/>
        </w:rPr>
        <w:t xml:space="preserve">n August 2016, Celgene </w:t>
      </w:r>
      <w:r w:rsidR="00E30D93">
        <w:rPr>
          <w:rFonts w:ascii="Times New Roman" w:hAnsi="Times New Roman" w:cs="Times New Roman"/>
          <w:color w:val="212121"/>
          <w:sz w:val="24"/>
          <w:szCs w:val="24"/>
        </w:rPr>
        <w:t>moved</w:t>
      </w:r>
      <w:r w:rsidRPr="00622F74">
        <w:rPr>
          <w:rFonts w:ascii="Times New Roman" w:hAnsi="Times New Roman" w:cs="Times New Roman"/>
          <w:color w:val="212121"/>
          <w:sz w:val="24"/>
          <w:szCs w:val="24"/>
        </w:rPr>
        <w:t xml:space="preserve"> for summary judgment. </w:t>
      </w:r>
    </w:p>
    <w:p w:rsidR="00EF7C79" w:rsidRPr="0021368C" w:rsidRDefault="00EF7C79" w:rsidP="008D488D">
      <w:pPr>
        <w:spacing w:line="480" w:lineRule="auto"/>
        <w:ind w:firstLine="720"/>
        <w:rPr>
          <w:rFonts w:ascii="Times New Roman" w:hAnsi="Times New Roman" w:cs="Times New Roman"/>
          <w:sz w:val="24"/>
          <w:szCs w:val="24"/>
        </w:rPr>
      </w:pPr>
      <w:r w:rsidRPr="0021368C">
        <w:rPr>
          <w:rFonts w:ascii="Times New Roman" w:hAnsi="Times New Roman" w:cs="Times New Roman"/>
          <w:sz w:val="24"/>
          <w:szCs w:val="24"/>
        </w:rPr>
        <w:t xml:space="preserve">According to Brown, Celgene's off-label promotion mostly involved direct contact with physicians and was centered on </w:t>
      </w:r>
      <w:r w:rsidR="00E30D93">
        <w:rPr>
          <w:rFonts w:ascii="Times New Roman" w:hAnsi="Times New Roman" w:cs="Times New Roman"/>
          <w:sz w:val="24"/>
          <w:szCs w:val="24"/>
        </w:rPr>
        <w:t xml:space="preserve">the </w:t>
      </w:r>
      <w:r w:rsidR="005239F8">
        <w:rPr>
          <w:rFonts w:ascii="Times New Roman" w:hAnsi="Times New Roman" w:cs="Times New Roman"/>
          <w:sz w:val="24"/>
          <w:szCs w:val="24"/>
        </w:rPr>
        <w:t xml:space="preserve">treatment of </w:t>
      </w:r>
      <w:r w:rsidRPr="0021368C">
        <w:rPr>
          <w:rFonts w:ascii="Times New Roman" w:hAnsi="Times New Roman" w:cs="Times New Roman"/>
          <w:sz w:val="24"/>
          <w:szCs w:val="24"/>
        </w:rPr>
        <w:t>cancer</w:t>
      </w:r>
      <w:r w:rsidR="00E30D93">
        <w:rPr>
          <w:rFonts w:ascii="Times New Roman" w:hAnsi="Times New Roman" w:cs="Times New Roman"/>
          <w:sz w:val="24"/>
          <w:szCs w:val="24"/>
        </w:rPr>
        <w:t xml:space="preserve"> patients</w:t>
      </w:r>
      <w:r w:rsidRPr="0021368C">
        <w:rPr>
          <w:rFonts w:ascii="Times New Roman" w:hAnsi="Times New Roman" w:cs="Times New Roman"/>
          <w:sz w:val="24"/>
          <w:szCs w:val="24"/>
        </w:rPr>
        <w:t xml:space="preserve">. Although Celgene's drugs were not approved for any cancer use until 2005 and were </w:t>
      </w:r>
      <w:r w:rsidR="00E30D93">
        <w:rPr>
          <w:rFonts w:ascii="Times New Roman" w:hAnsi="Times New Roman" w:cs="Times New Roman"/>
          <w:sz w:val="24"/>
          <w:szCs w:val="24"/>
        </w:rPr>
        <w:t xml:space="preserve">only </w:t>
      </w:r>
      <w:r w:rsidRPr="0021368C">
        <w:rPr>
          <w:rFonts w:ascii="Times New Roman" w:hAnsi="Times New Roman" w:cs="Times New Roman"/>
          <w:sz w:val="24"/>
          <w:szCs w:val="24"/>
        </w:rPr>
        <w:t xml:space="preserve">approved for a narrow subset of cancers thereafter, the company began promoting Thalomid and Revlimid for a wide variety of cancers as soon as these drugs hit the market. </w:t>
      </w:r>
      <w:r w:rsidR="000A3F00">
        <w:rPr>
          <w:rFonts w:ascii="Times New Roman" w:hAnsi="Times New Roman" w:cs="Times New Roman"/>
          <w:sz w:val="24"/>
          <w:szCs w:val="24"/>
        </w:rPr>
        <w:t xml:space="preserve">Brown also alleged that </w:t>
      </w:r>
      <w:r w:rsidRPr="0021368C">
        <w:rPr>
          <w:rFonts w:ascii="Times New Roman" w:hAnsi="Times New Roman" w:cs="Times New Roman"/>
          <w:sz w:val="24"/>
          <w:szCs w:val="24"/>
        </w:rPr>
        <w:t>Celgene paid kickbacks</w:t>
      </w:r>
      <w:r w:rsidR="0021368C">
        <w:rPr>
          <w:rFonts w:ascii="Times New Roman" w:hAnsi="Times New Roman" w:cs="Times New Roman"/>
          <w:sz w:val="24"/>
          <w:szCs w:val="24"/>
        </w:rPr>
        <w:t xml:space="preserve"> </w:t>
      </w:r>
      <w:r w:rsidRPr="0021368C">
        <w:rPr>
          <w:rFonts w:ascii="Times New Roman" w:hAnsi="Times New Roman" w:cs="Times New Roman"/>
          <w:sz w:val="24"/>
          <w:szCs w:val="24"/>
        </w:rPr>
        <w:t>in the form of speaker fees, paid clinical trials, advisory board positions, and autho</w:t>
      </w:r>
      <w:r w:rsidR="0021368C">
        <w:rPr>
          <w:rFonts w:ascii="Times New Roman" w:hAnsi="Times New Roman" w:cs="Times New Roman"/>
          <w:sz w:val="24"/>
          <w:szCs w:val="24"/>
        </w:rPr>
        <w:t xml:space="preserve">rship of ghost-written articles </w:t>
      </w:r>
      <w:r w:rsidRPr="0021368C">
        <w:rPr>
          <w:rFonts w:ascii="Times New Roman" w:hAnsi="Times New Roman" w:cs="Times New Roman"/>
          <w:sz w:val="24"/>
          <w:szCs w:val="24"/>
        </w:rPr>
        <w:t xml:space="preserve">to physicians in exchange for prescriptions of its drugs. Celgene's efforts were successful in causing physicians to prescribe Thalomid and Revlimid, and </w:t>
      </w:r>
      <w:r w:rsidR="000A3F00">
        <w:rPr>
          <w:rFonts w:ascii="Times New Roman" w:hAnsi="Times New Roman" w:cs="Times New Roman"/>
          <w:sz w:val="24"/>
          <w:szCs w:val="24"/>
        </w:rPr>
        <w:t>many</w:t>
      </w:r>
      <w:r w:rsidRPr="0021368C">
        <w:rPr>
          <w:rFonts w:ascii="Times New Roman" w:hAnsi="Times New Roman" w:cs="Times New Roman"/>
          <w:sz w:val="24"/>
          <w:szCs w:val="24"/>
        </w:rPr>
        <w:t xml:space="preserve"> of the resulting prescriptions were </w:t>
      </w:r>
      <w:r w:rsidR="005239F8">
        <w:rPr>
          <w:rFonts w:ascii="Times New Roman" w:hAnsi="Times New Roman" w:cs="Times New Roman"/>
          <w:sz w:val="24"/>
          <w:szCs w:val="24"/>
        </w:rPr>
        <w:t>reimbursed</w:t>
      </w:r>
      <w:r w:rsidR="00622F74">
        <w:rPr>
          <w:rFonts w:ascii="Times New Roman" w:hAnsi="Times New Roman" w:cs="Times New Roman"/>
          <w:sz w:val="24"/>
          <w:szCs w:val="24"/>
        </w:rPr>
        <w:t xml:space="preserve"> by</w:t>
      </w:r>
      <w:r w:rsidRPr="0021368C">
        <w:rPr>
          <w:rFonts w:ascii="Times New Roman" w:hAnsi="Times New Roman" w:cs="Times New Roman"/>
          <w:sz w:val="24"/>
          <w:szCs w:val="24"/>
        </w:rPr>
        <w:t xml:space="preserve"> Medicare, Medicaid, TRICARE, and the Department of Veterans Affairs (“VA”). </w:t>
      </w:r>
    </w:p>
    <w:p w:rsidR="00CF78A1" w:rsidRDefault="00B536A0" w:rsidP="00B536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defeat the motion for summary judgment, Brown had to demonstrate a causal link between Celgene’s off-label marketing efforts and the actual prescription of drugs for off-label purposes, and more specifically, prescriptions of drugs that were billed to Medicare for reimbursement. </w:t>
      </w:r>
      <w:r w:rsidR="00622F74">
        <w:rPr>
          <w:rFonts w:ascii="Times New Roman" w:hAnsi="Times New Roman" w:cs="Times New Roman"/>
          <w:color w:val="212121"/>
          <w:sz w:val="24"/>
          <w:szCs w:val="24"/>
        </w:rPr>
        <w:t>Celgene argued</w:t>
      </w:r>
      <w:r w:rsidR="00EF7C79" w:rsidRPr="00622F74">
        <w:rPr>
          <w:rFonts w:ascii="Times New Roman" w:hAnsi="Times New Roman" w:cs="Times New Roman"/>
          <w:color w:val="212121"/>
          <w:sz w:val="24"/>
          <w:szCs w:val="24"/>
        </w:rPr>
        <w:t xml:space="preserve"> that truthful off-label promotion may be pr</w:t>
      </w:r>
      <w:r w:rsidR="00622F74">
        <w:rPr>
          <w:rFonts w:ascii="Times New Roman" w:hAnsi="Times New Roman" w:cs="Times New Roman"/>
          <w:color w:val="212121"/>
          <w:sz w:val="24"/>
          <w:szCs w:val="24"/>
        </w:rPr>
        <w:t xml:space="preserve">otected by the First Amendment, and </w:t>
      </w:r>
      <w:r w:rsidR="00EF7C79" w:rsidRPr="00622F74">
        <w:rPr>
          <w:rFonts w:ascii="Times New Roman" w:hAnsi="Times New Roman" w:cs="Times New Roman"/>
          <w:color w:val="212121"/>
          <w:sz w:val="24"/>
          <w:szCs w:val="24"/>
        </w:rPr>
        <w:t>that the</w:t>
      </w:r>
      <w:r w:rsidR="00622F74">
        <w:rPr>
          <w:rFonts w:ascii="Times New Roman" w:hAnsi="Times New Roman" w:cs="Times New Roman"/>
          <w:color w:val="212121"/>
          <w:sz w:val="24"/>
          <w:szCs w:val="24"/>
        </w:rPr>
        <w:t>se health</w:t>
      </w:r>
      <w:r w:rsidR="00EF7C79" w:rsidRPr="00622F74">
        <w:rPr>
          <w:rFonts w:ascii="Times New Roman" w:hAnsi="Times New Roman" w:cs="Times New Roman"/>
          <w:color w:val="212121"/>
          <w:sz w:val="24"/>
          <w:szCs w:val="24"/>
        </w:rPr>
        <w:t xml:space="preserve"> programs have discretion to reimburse off-label uses that are in a patient's best interest. </w:t>
      </w:r>
      <w:r>
        <w:rPr>
          <w:rFonts w:ascii="Times New Roman" w:hAnsi="Times New Roman" w:cs="Times New Roman"/>
          <w:color w:val="212121"/>
          <w:sz w:val="24"/>
          <w:szCs w:val="24"/>
        </w:rPr>
        <w:t xml:space="preserve"> </w:t>
      </w:r>
      <w:r w:rsidR="000C428F">
        <w:rPr>
          <w:rFonts w:ascii="Times New Roman" w:hAnsi="Times New Roman" w:cs="Times New Roman"/>
          <w:sz w:val="24"/>
          <w:szCs w:val="24"/>
        </w:rPr>
        <w:t>Celgene cited clinical research and medical expert acknowledgement of the potential effectiveness of Thalomid and Revlimid</w:t>
      </w:r>
      <w:r w:rsidR="005239F8">
        <w:rPr>
          <w:rFonts w:ascii="Times New Roman" w:hAnsi="Times New Roman" w:cs="Times New Roman"/>
          <w:sz w:val="24"/>
          <w:szCs w:val="24"/>
        </w:rPr>
        <w:t xml:space="preserve"> in treating cancer</w:t>
      </w:r>
      <w:r w:rsidR="000C428F">
        <w:rPr>
          <w:rFonts w:ascii="Times New Roman" w:hAnsi="Times New Roman" w:cs="Times New Roman"/>
          <w:sz w:val="24"/>
          <w:szCs w:val="24"/>
        </w:rPr>
        <w:t>, as well as declarations from physicians about exercising independent judgment i</w:t>
      </w:r>
      <w:r w:rsidR="00BA424E">
        <w:rPr>
          <w:rFonts w:ascii="Times New Roman" w:hAnsi="Times New Roman" w:cs="Times New Roman"/>
          <w:sz w:val="24"/>
          <w:szCs w:val="24"/>
        </w:rPr>
        <w:t xml:space="preserve">n prescriptions. </w:t>
      </w:r>
      <w:r>
        <w:rPr>
          <w:rFonts w:ascii="Times New Roman" w:hAnsi="Times New Roman" w:cs="Times New Roman"/>
          <w:sz w:val="24"/>
          <w:szCs w:val="24"/>
        </w:rPr>
        <w:t>This evidence</w:t>
      </w:r>
      <w:r w:rsidR="00BA424E">
        <w:rPr>
          <w:rFonts w:ascii="Times New Roman" w:hAnsi="Times New Roman" w:cs="Times New Roman"/>
          <w:sz w:val="24"/>
          <w:szCs w:val="24"/>
        </w:rPr>
        <w:t>, which</w:t>
      </w:r>
      <w:r>
        <w:rPr>
          <w:rFonts w:ascii="Times New Roman" w:hAnsi="Times New Roman" w:cs="Times New Roman"/>
          <w:sz w:val="24"/>
          <w:szCs w:val="24"/>
        </w:rPr>
        <w:t xml:space="preserve"> tended to negate any causal link</w:t>
      </w:r>
      <w:r w:rsidR="000C428F">
        <w:rPr>
          <w:rFonts w:ascii="Times New Roman" w:hAnsi="Times New Roman" w:cs="Times New Roman"/>
          <w:sz w:val="24"/>
          <w:szCs w:val="24"/>
        </w:rPr>
        <w:t xml:space="preserve"> between drug promotion and drug prescription</w:t>
      </w:r>
      <w:r w:rsidR="00BA424E">
        <w:rPr>
          <w:rFonts w:ascii="Times New Roman" w:hAnsi="Times New Roman" w:cs="Times New Roman"/>
          <w:sz w:val="24"/>
          <w:szCs w:val="24"/>
        </w:rPr>
        <w:t>,</w:t>
      </w:r>
      <w:r w:rsidR="000C428F">
        <w:rPr>
          <w:rFonts w:ascii="Times New Roman" w:hAnsi="Times New Roman" w:cs="Times New Roman"/>
          <w:sz w:val="24"/>
          <w:szCs w:val="24"/>
        </w:rPr>
        <w:t xml:space="preserve"> left the burden on Brown to </w:t>
      </w:r>
      <w:r>
        <w:rPr>
          <w:rFonts w:ascii="Times New Roman" w:hAnsi="Times New Roman" w:cs="Times New Roman"/>
          <w:sz w:val="24"/>
          <w:szCs w:val="24"/>
        </w:rPr>
        <w:t xml:space="preserve">produce evidence from which a reasonable jury could infer such a causal link. </w:t>
      </w:r>
      <w:r w:rsidR="000C428F">
        <w:rPr>
          <w:rFonts w:ascii="Times New Roman" w:hAnsi="Times New Roman" w:cs="Times New Roman"/>
          <w:sz w:val="24"/>
          <w:szCs w:val="24"/>
        </w:rPr>
        <w:t xml:space="preserve"> </w:t>
      </w:r>
      <w:r>
        <w:rPr>
          <w:rFonts w:ascii="Times New Roman" w:hAnsi="Times New Roman" w:cs="Times New Roman"/>
          <w:i/>
          <w:sz w:val="24"/>
          <w:szCs w:val="24"/>
        </w:rPr>
        <w:t>See i</w:t>
      </w:r>
      <w:r w:rsidR="000C428F">
        <w:rPr>
          <w:rFonts w:ascii="Times New Roman" w:hAnsi="Times New Roman" w:cs="Times New Roman"/>
          <w:i/>
          <w:sz w:val="24"/>
          <w:szCs w:val="24"/>
        </w:rPr>
        <w:t xml:space="preserve">d. </w:t>
      </w:r>
      <w:r w:rsidR="000C428F">
        <w:rPr>
          <w:rFonts w:ascii="Times New Roman" w:hAnsi="Times New Roman" w:cs="Times New Roman"/>
          <w:sz w:val="24"/>
          <w:szCs w:val="24"/>
        </w:rPr>
        <w:t>at 1037.</w:t>
      </w:r>
    </w:p>
    <w:p w:rsidR="0038189C" w:rsidRDefault="000C428F" w:rsidP="00805BB7">
      <w:pPr>
        <w:spacing w:line="480" w:lineRule="auto"/>
        <w:rPr>
          <w:rFonts w:ascii="Times New Roman" w:hAnsi="Times New Roman" w:cs="Times New Roman"/>
          <w:i/>
          <w:sz w:val="24"/>
          <w:szCs w:val="24"/>
        </w:rPr>
      </w:pPr>
      <w:r>
        <w:rPr>
          <w:rFonts w:ascii="Times New Roman" w:hAnsi="Times New Roman" w:cs="Times New Roman"/>
          <w:sz w:val="24"/>
          <w:szCs w:val="24"/>
        </w:rPr>
        <w:tab/>
      </w:r>
      <w:r w:rsidR="00B536A0">
        <w:rPr>
          <w:rFonts w:ascii="Times New Roman" w:hAnsi="Times New Roman" w:cs="Times New Roman"/>
          <w:sz w:val="24"/>
          <w:szCs w:val="24"/>
        </w:rPr>
        <w:t>Brown, however, was able to produce such evidence.  First, she pointed to</w:t>
      </w:r>
      <w:r w:rsidR="008B265D">
        <w:rPr>
          <w:rFonts w:ascii="Times New Roman" w:hAnsi="Times New Roman" w:cs="Times New Roman"/>
          <w:sz w:val="24"/>
          <w:szCs w:val="24"/>
        </w:rPr>
        <w:t xml:space="preserve"> the </w:t>
      </w:r>
      <w:r w:rsidR="00B536A0">
        <w:rPr>
          <w:rFonts w:ascii="Times New Roman" w:hAnsi="Times New Roman" w:cs="Times New Roman"/>
          <w:sz w:val="24"/>
          <w:szCs w:val="24"/>
        </w:rPr>
        <w:t xml:space="preserve">timing and limited </w:t>
      </w:r>
      <w:r w:rsidR="008B265D">
        <w:rPr>
          <w:rFonts w:ascii="Times New Roman" w:hAnsi="Times New Roman" w:cs="Times New Roman"/>
          <w:sz w:val="24"/>
          <w:szCs w:val="24"/>
        </w:rPr>
        <w:t xml:space="preserve">scope and of </w:t>
      </w:r>
      <w:r w:rsidR="00FC746E">
        <w:rPr>
          <w:rFonts w:ascii="Times New Roman" w:hAnsi="Times New Roman" w:cs="Times New Roman"/>
          <w:sz w:val="24"/>
          <w:szCs w:val="24"/>
        </w:rPr>
        <w:t>FDA</w:t>
      </w:r>
      <w:r w:rsidR="008B265D">
        <w:rPr>
          <w:rFonts w:ascii="Times New Roman" w:hAnsi="Times New Roman" w:cs="Times New Roman"/>
          <w:sz w:val="24"/>
          <w:szCs w:val="24"/>
        </w:rPr>
        <w:t>’s</w:t>
      </w:r>
      <w:r w:rsidR="00FC746E">
        <w:rPr>
          <w:rFonts w:ascii="Times New Roman" w:hAnsi="Times New Roman" w:cs="Times New Roman"/>
          <w:sz w:val="24"/>
          <w:szCs w:val="24"/>
        </w:rPr>
        <w:t xml:space="preserve"> </w:t>
      </w:r>
      <w:r w:rsidR="006B1A1C">
        <w:rPr>
          <w:rFonts w:ascii="Times New Roman" w:hAnsi="Times New Roman" w:cs="Times New Roman"/>
          <w:sz w:val="24"/>
          <w:szCs w:val="24"/>
        </w:rPr>
        <w:t xml:space="preserve">initial </w:t>
      </w:r>
      <w:r w:rsidR="00FC746E">
        <w:rPr>
          <w:rFonts w:ascii="Times New Roman" w:hAnsi="Times New Roman" w:cs="Times New Roman"/>
          <w:sz w:val="24"/>
          <w:szCs w:val="24"/>
        </w:rPr>
        <w:t>approval</w:t>
      </w:r>
      <w:r w:rsidR="00B536A0">
        <w:rPr>
          <w:rFonts w:ascii="Times New Roman" w:hAnsi="Times New Roman" w:cs="Times New Roman"/>
          <w:sz w:val="24"/>
          <w:szCs w:val="24"/>
        </w:rPr>
        <w:t>s</w:t>
      </w:r>
      <w:r w:rsidR="00FC746E">
        <w:rPr>
          <w:rFonts w:ascii="Times New Roman" w:hAnsi="Times New Roman" w:cs="Times New Roman"/>
          <w:sz w:val="24"/>
          <w:szCs w:val="24"/>
        </w:rPr>
        <w:t xml:space="preserve"> of Thalomid and Revlimid. </w:t>
      </w:r>
      <w:r w:rsidR="008B265D">
        <w:rPr>
          <w:rFonts w:ascii="Times New Roman" w:hAnsi="Times New Roman" w:cs="Times New Roman"/>
          <w:sz w:val="24"/>
          <w:szCs w:val="24"/>
        </w:rPr>
        <w:t xml:space="preserve"> </w:t>
      </w:r>
      <w:r w:rsidR="00FC746E">
        <w:rPr>
          <w:rFonts w:ascii="Times New Roman" w:hAnsi="Times New Roman" w:cs="Times New Roman"/>
          <w:sz w:val="24"/>
          <w:szCs w:val="24"/>
        </w:rPr>
        <w:t xml:space="preserve">Thalomid </w:t>
      </w:r>
      <w:r w:rsidR="00B536A0">
        <w:rPr>
          <w:rFonts w:ascii="Times New Roman" w:hAnsi="Times New Roman" w:cs="Times New Roman"/>
          <w:sz w:val="24"/>
          <w:szCs w:val="24"/>
        </w:rPr>
        <w:t>had not</w:t>
      </w:r>
      <w:r w:rsidR="00FC746E">
        <w:rPr>
          <w:rFonts w:ascii="Times New Roman" w:hAnsi="Times New Roman" w:cs="Times New Roman"/>
          <w:sz w:val="24"/>
          <w:szCs w:val="24"/>
        </w:rPr>
        <w:t xml:space="preserve"> </w:t>
      </w:r>
      <w:r w:rsidR="006B1A1C">
        <w:rPr>
          <w:rFonts w:ascii="Times New Roman" w:hAnsi="Times New Roman" w:cs="Times New Roman"/>
          <w:sz w:val="24"/>
          <w:szCs w:val="24"/>
        </w:rPr>
        <w:t>been</w:t>
      </w:r>
      <w:r w:rsidR="00FC746E">
        <w:rPr>
          <w:rFonts w:ascii="Times New Roman" w:hAnsi="Times New Roman" w:cs="Times New Roman"/>
          <w:sz w:val="24"/>
          <w:szCs w:val="24"/>
        </w:rPr>
        <w:t xml:space="preserve"> approved to treat any kind of cancer until May 2006, and </w:t>
      </w:r>
      <w:r w:rsidR="008B265D">
        <w:rPr>
          <w:rFonts w:ascii="Times New Roman" w:hAnsi="Times New Roman" w:cs="Times New Roman"/>
          <w:sz w:val="24"/>
          <w:szCs w:val="24"/>
        </w:rPr>
        <w:t xml:space="preserve">it </w:t>
      </w:r>
      <w:r w:rsidR="00FC746E">
        <w:rPr>
          <w:rFonts w:ascii="Times New Roman" w:hAnsi="Times New Roman" w:cs="Times New Roman"/>
          <w:sz w:val="24"/>
          <w:szCs w:val="24"/>
        </w:rPr>
        <w:t xml:space="preserve">was originally approved </w:t>
      </w:r>
      <w:r w:rsidR="006B1A1C">
        <w:rPr>
          <w:rFonts w:ascii="Times New Roman" w:hAnsi="Times New Roman" w:cs="Times New Roman"/>
          <w:sz w:val="24"/>
          <w:szCs w:val="24"/>
        </w:rPr>
        <w:t xml:space="preserve">only </w:t>
      </w:r>
      <w:r w:rsidR="00FC746E">
        <w:rPr>
          <w:rFonts w:ascii="Times New Roman" w:hAnsi="Times New Roman" w:cs="Times New Roman"/>
          <w:sz w:val="24"/>
          <w:szCs w:val="24"/>
        </w:rPr>
        <w:t xml:space="preserve">to treat a condition that results from leprosy and occurs in about a quarter of the “few hundred” cases diagnosed each year. </w:t>
      </w:r>
      <w:r w:rsidR="00FC746E">
        <w:rPr>
          <w:rFonts w:ascii="Times New Roman" w:hAnsi="Times New Roman" w:cs="Times New Roman"/>
          <w:i/>
          <w:sz w:val="24"/>
          <w:szCs w:val="24"/>
        </w:rPr>
        <w:t>Id.</w:t>
      </w:r>
      <w:r w:rsidR="00FC746E">
        <w:rPr>
          <w:rFonts w:ascii="Times New Roman" w:hAnsi="Times New Roman" w:cs="Times New Roman"/>
          <w:sz w:val="24"/>
          <w:szCs w:val="24"/>
        </w:rPr>
        <w:t xml:space="preserve"> </w:t>
      </w:r>
      <w:r w:rsidR="008B265D">
        <w:rPr>
          <w:rFonts w:ascii="Times New Roman" w:hAnsi="Times New Roman" w:cs="Times New Roman"/>
          <w:sz w:val="24"/>
          <w:szCs w:val="24"/>
        </w:rPr>
        <w:t xml:space="preserve"> </w:t>
      </w:r>
      <w:r w:rsidR="00FC746E">
        <w:rPr>
          <w:rFonts w:ascii="Times New Roman" w:hAnsi="Times New Roman" w:cs="Times New Roman"/>
          <w:sz w:val="24"/>
          <w:szCs w:val="24"/>
        </w:rPr>
        <w:t xml:space="preserve">Revlimid was not approved at all until December 2005, </w:t>
      </w:r>
      <w:r w:rsidR="006B1A1C">
        <w:rPr>
          <w:rFonts w:ascii="Times New Roman" w:hAnsi="Times New Roman" w:cs="Times New Roman"/>
          <w:sz w:val="24"/>
          <w:szCs w:val="24"/>
        </w:rPr>
        <w:t xml:space="preserve">then was approved </w:t>
      </w:r>
      <w:r w:rsidR="00FC746E">
        <w:rPr>
          <w:rFonts w:ascii="Times New Roman" w:hAnsi="Times New Roman" w:cs="Times New Roman"/>
          <w:sz w:val="24"/>
          <w:szCs w:val="24"/>
        </w:rPr>
        <w:t xml:space="preserve">for </w:t>
      </w:r>
      <w:r w:rsidR="006B1A1C">
        <w:rPr>
          <w:rFonts w:ascii="Times New Roman" w:hAnsi="Times New Roman" w:cs="Times New Roman"/>
          <w:sz w:val="24"/>
          <w:szCs w:val="24"/>
        </w:rPr>
        <w:t xml:space="preserve">the treatment of </w:t>
      </w:r>
      <w:r w:rsidR="00FC746E">
        <w:rPr>
          <w:rFonts w:ascii="Times New Roman" w:hAnsi="Times New Roman" w:cs="Times New Roman"/>
          <w:sz w:val="24"/>
          <w:szCs w:val="24"/>
        </w:rPr>
        <w:t xml:space="preserve">MM in 2006, and </w:t>
      </w:r>
      <w:r w:rsidR="006B1A1C">
        <w:rPr>
          <w:rFonts w:ascii="Times New Roman" w:hAnsi="Times New Roman" w:cs="Times New Roman"/>
          <w:sz w:val="24"/>
          <w:szCs w:val="24"/>
        </w:rPr>
        <w:t>its approval was limited to</w:t>
      </w:r>
      <w:r w:rsidR="00FC746E">
        <w:rPr>
          <w:rFonts w:ascii="Times New Roman" w:hAnsi="Times New Roman" w:cs="Times New Roman"/>
          <w:sz w:val="24"/>
          <w:szCs w:val="24"/>
        </w:rPr>
        <w:t xml:space="preserve"> uses “similarly narrow in scope.” </w:t>
      </w:r>
      <w:r w:rsidR="00FC746E">
        <w:rPr>
          <w:rFonts w:ascii="Times New Roman" w:hAnsi="Times New Roman" w:cs="Times New Roman"/>
          <w:i/>
          <w:sz w:val="24"/>
          <w:szCs w:val="24"/>
        </w:rPr>
        <w:t xml:space="preserve">Id. </w:t>
      </w:r>
      <w:r w:rsidR="00FC746E">
        <w:rPr>
          <w:rFonts w:ascii="Times New Roman" w:hAnsi="Times New Roman" w:cs="Times New Roman"/>
          <w:sz w:val="24"/>
          <w:szCs w:val="24"/>
        </w:rPr>
        <w:t xml:space="preserve">at 1038. </w:t>
      </w:r>
      <w:r w:rsidR="008B265D">
        <w:rPr>
          <w:rFonts w:ascii="Times New Roman" w:hAnsi="Times New Roman" w:cs="Times New Roman"/>
          <w:sz w:val="24"/>
          <w:szCs w:val="24"/>
        </w:rPr>
        <w:t xml:space="preserve"> </w:t>
      </w:r>
      <w:r w:rsidR="00FC746E">
        <w:rPr>
          <w:rFonts w:ascii="Times New Roman" w:hAnsi="Times New Roman" w:cs="Times New Roman"/>
          <w:sz w:val="24"/>
          <w:szCs w:val="24"/>
        </w:rPr>
        <w:t>Based on these facts, the court declared</w:t>
      </w:r>
      <w:r w:rsidR="006B1A1C">
        <w:rPr>
          <w:rFonts w:ascii="Times New Roman" w:hAnsi="Times New Roman" w:cs="Times New Roman"/>
          <w:sz w:val="24"/>
          <w:szCs w:val="24"/>
        </w:rPr>
        <w:t>,</w:t>
      </w:r>
      <w:r w:rsidR="00FC746E">
        <w:rPr>
          <w:rFonts w:ascii="Times New Roman" w:hAnsi="Times New Roman" w:cs="Times New Roman"/>
          <w:sz w:val="24"/>
          <w:szCs w:val="24"/>
        </w:rPr>
        <w:t xml:space="preserve"> “</w:t>
      </w:r>
      <w:r w:rsidR="00FC746E" w:rsidRPr="00FC746E">
        <w:rPr>
          <w:rFonts w:ascii="Times New Roman" w:hAnsi="Times New Roman" w:cs="Times New Roman"/>
          <w:sz w:val="24"/>
          <w:szCs w:val="24"/>
        </w:rPr>
        <w:t>Celgene arguably should not have promoted its drugs to treat cancer before December 2005; even after this point, its promotion arguably should have been limited to the narrow subset of cases for which it had received approval.</w:t>
      </w:r>
      <w:r w:rsidR="00FC746E">
        <w:rPr>
          <w:rFonts w:ascii="Times New Roman" w:hAnsi="Times New Roman" w:cs="Times New Roman"/>
          <w:sz w:val="24"/>
          <w:szCs w:val="24"/>
        </w:rPr>
        <w:t xml:space="preserve">” </w:t>
      </w:r>
      <w:r w:rsidR="00FC746E">
        <w:rPr>
          <w:rFonts w:ascii="Times New Roman" w:hAnsi="Times New Roman" w:cs="Times New Roman"/>
          <w:i/>
          <w:sz w:val="24"/>
          <w:szCs w:val="24"/>
        </w:rPr>
        <w:t xml:space="preserve">Id. </w:t>
      </w:r>
    </w:p>
    <w:p w:rsidR="000C428F" w:rsidRDefault="00525641" w:rsidP="003818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Brown </w:t>
      </w:r>
      <w:r w:rsidR="006B1A1C">
        <w:rPr>
          <w:rFonts w:ascii="Times New Roman" w:hAnsi="Times New Roman" w:cs="Times New Roman"/>
          <w:sz w:val="24"/>
          <w:szCs w:val="24"/>
        </w:rPr>
        <w:t>provided</w:t>
      </w:r>
      <w:r>
        <w:rPr>
          <w:rFonts w:ascii="Times New Roman" w:hAnsi="Times New Roman" w:cs="Times New Roman"/>
          <w:sz w:val="24"/>
          <w:szCs w:val="24"/>
        </w:rPr>
        <w:t xml:space="preserve"> evidence</w:t>
      </w:r>
      <w:r w:rsidR="0038189C">
        <w:rPr>
          <w:rFonts w:ascii="Times New Roman" w:hAnsi="Times New Roman" w:cs="Times New Roman"/>
          <w:sz w:val="24"/>
          <w:szCs w:val="24"/>
        </w:rPr>
        <w:t xml:space="preserve"> </w:t>
      </w:r>
      <w:r>
        <w:rPr>
          <w:rFonts w:ascii="Times New Roman" w:hAnsi="Times New Roman" w:cs="Times New Roman"/>
          <w:sz w:val="24"/>
          <w:szCs w:val="24"/>
        </w:rPr>
        <w:t>sh</w:t>
      </w:r>
      <w:r w:rsidR="006B1A1C">
        <w:rPr>
          <w:rFonts w:ascii="Times New Roman" w:hAnsi="Times New Roman" w:cs="Times New Roman"/>
          <w:sz w:val="24"/>
          <w:szCs w:val="24"/>
        </w:rPr>
        <w:t>owing</w:t>
      </w:r>
      <w:r>
        <w:rPr>
          <w:rFonts w:ascii="Times New Roman" w:hAnsi="Times New Roman" w:cs="Times New Roman"/>
          <w:sz w:val="24"/>
          <w:szCs w:val="24"/>
        </w:rPr>
        <w:t xml:space="preserve"> that Celgene had begun marketing Thalomid for off-label cancer uses almost as soon as it gained approval for ENL in 1999. </w:t>
      </w:r>
      <w:r w:rsidR="008B265D">
        <w:rPr>
          <w:rFonts w:ascii="Times New Roman" w:hAnsi="Times New Roman" w:cs="Times New Roman"/>
          <w:sz w:val="24"/>
          <w:szCs w:val="24"/>
        </w:rPr>
        <w:t xml:space="preserve"> </w:t>
      </w:r>
      <w:r>
        <w:rPr>
          <w:rFonts w:ascii="Times New Roman" w:hAnsi="Times New Roman" w:cs="Times New Roman"/>
          <w:sz w:val="24"/>
          <w:szCs w:val="24"/>
        </w:rPr>
        <w:t xml:space="preserve">Celgene </w:t>
      </w:r>
      <w:r w:rsidR="008B265D">
        <w:rPr>
          <w:rFonts w:ascii="Times New Roman" w:hAnsi="Times New Roman" w:cs="Times New Roman"/>
          <w:sz w:val="24"/>
          <w:szCs w:val="24"/>
        </w:rPr>
        <w:t>had devised</w:t>
      </w:r>
      <w:r>
        <w:rPr>
          <w:rFonts w:ascii="Times New Roman" w:hAnsi="Times New Roman" w:cs="Times New Roman"/>
          <w:sz w:val="24"/>
          <w:szCs w:val="24"/>
        </w:rPr>
        <w:t xml:space="preserve"> a “Thalomid Marketing Plan,” </w:t>
      </w:r>
      <w:r w:rsidR="008B265D">
        <w:rPr>
          <w:rFonts w:ascii="Times New Roman" w:hAnsi="Times New Roman" w:cs="Times New Roman"/>
          <w:sz w:val="24"/>
          <w:szCs w:val="24"/>
        </w:rPr>
        <w:t>which included</w:t>
      </w:r>
      <w:r>
        <w:rPr>
          <w:rFonts w:ascii="Times New Roman" w:hAnsi="Times New Roman" w:cs="Times New Roman"/>
          <w:sz w:val="24"/>
          <w:szCs w:val="24"/>
        </w:rPr>
        <w:t xml:space="preserve"> sales materials for doctors, exhibits at conventions, and advertisements in medical journals focused on physicians who specialize in cancer. A 2004 Business Plan “urged representatives to discuss off-label cancer uses ‘on every call’” </w:t>
      </w:r>
      <w:r>
        <w:rPr>
          <w:rFonts w:ascii="Times New Roman" w:hAnsi="Times New Roman" w:cs="Times New Roman"/>
          <w:i/>
          <w:sz w:val="24"/>
          <w:szCs w:val="24"/>
        </w:rPr>
        <w:t>Id.</w:t>
      </w:r>
      <w:r>
        <w:rPr>
          <w:rFonts w:ascii="Times New Roman" w:hAnsi="Times New Roman" w:cs="Times New Roman"/>
          <w:sz w:val="24"/>
          <w:szCs w:val="24"/>
        </w:rPr>
        <w:t xml:space="preserve"> </w:t>
      </w:r>
      <w:r w:rsidR="008B265D">
        <w:rPr>
          <w:rFonts w:ascii="Times New Roman" w:hAnsi="Times New Roman" w:cs="Times New Roman"/>
          <w:sz w:val="24"/>
          <w:szCs w:val="24"/>
        </w:rPr>
        <w:t xml:space="preserve"> </w:t>
      </w:r>
      <w:r>
        <w:rPr>
          <w:rFonts w:ascii="Times New Roman" w:hAnsi="Times New Roman" w:cs="Times New Roman"/>
          <w:sz w:val="24"/>
          <w:szCs w:val="24"/>
        </w:rPr>
        <w:t>Brown</w:t>
      </w:r>
      <w:r w:rsidR="006B1A1C">
        <w:rPr>
          <w:rFonts w:ascii="Times New Roman" w:hAnsi="Times New Roman" w:cs="Times New Roman"/>
          <w:sz w:val="24"/>
          <w:szCs w:val="24"/>
        </w:rPr>
        <w:t xml:space="preserve"> was able to provide first-hand evidence of Celgene’s practices: she </w:t>
      </w:r>
      <w:r w:rsidR="008B265D">
        <w:rPr>
          <w:rFonts w:ascii="Times New Roman" w:hAnsi="Times New Roman" w:cs="Times New Roman"/>
          <w:sz w:val="24"/>
          <w:szCs w:val="24"/>
        </w:rPr>
        <w:t xml:space="preserve">herself had been </w:t>
      </w:r>
      <w:r w:rsidR="006B6958">
        <w:rPr>
          <w:rFonts w:ascii="Times New Roman" w:hAnsi="Times New Roman" w:cs="Times New Roman"/>
          <w:sz w:val="24"/>
          <w:szCs w:val="24"/>
        </w:rPr>
        <w:t xml:space="preserve">a sales representative, hired in 2001, trained, and instructed to discuss off-label uses of Thalomid for cancer patients with oncologists and hematologists. </w:t>
      </w:r>
      <w:r w:rsidR="006B1A1C">
        <w:rPr>
          <w:rFonts w:ascii="Times New Roman" w:hAnsi="Times New Roman" w:cs="Times New Roman"/>
          <w:sz w:val="24"/>
          <w:szCs w:val="24"/>
        </w:rPr>
        <w:t xml:space="preserve"> Brown </w:t>
      </w:r>
      <w:r w:rsidR="008B265D">
        <w:rPr>
          <w:rFonts w:ascii="Times New Roman" w:hAnsi="Times New Roman" w:cs="Times New Roman"/>
          <w:sz w:val="24"/>
          <w:szCs w:val="24"/>
        </w:rPr>
        <w:t>provided evidence that</w:t>
      </w:r>
      <w:r w:rsidR="006B6958">
        <w:rPr>
          <w:rFonts w:ascii="Times New Roman" w:hAnsi="Times New Roman" w:cs="Times New Roman"/>
          <w:sz w:val="24"/>
          <w:szCs w:val="24"/>
        </w:rPr>
        <w:t xml:space="preserve"> the sales force for Thalomid </w:t>
      </w:r>
      <w:r w:rsidR="008B265D">
        <w:rPr>
          <w:rFonts w:ascii="Times New Roman" w:hAnsi="Times New Roman" w:cs="Times New Roman"/>
          <w:sz w:val="24"/>
          <w:szCs w:val="24"/>
        </w:rPr>
        <w:t>started with</w:t>
      </w:r>
      <w:r w:rsidR="006B6958">
        <w:rPr>
          <w:rFonts w:ascii="Times New Roman" w:hAnsi="Times New Roman" w:cs="Times New Roman"/>
          <w:sz w:val="24"/>
          <w:szCs w:val="24"/>
        </w:rPr>
        <w:t xml:space="preserve"> about 20 </w:t>
      </w:r>
      <w:r w:rsidR="008B265D">
        <w:rPr>
          <w:rFonts w:ascii="Times New Roman" w:hAnsi="Times New Roman" w:cs="Times New Roman"/>
          <w:sz w:val="24"/>
          <w:szCs w:val="24"/>
        </w:rPr>
        <w:t xml:space="preserve">people </w:t>
      </w:r>
      <w:r w:rsidR="006B6958">
        <w:rPr>
          <w:rFonts w:ascii="Times New Roman" w:hAnsi="Times New Roman" w:cs="Times New Roman"/>
          <w:sz w:val="24"/>
          <w:szCs w:val="24"/>
        </w:rPr>
        <w:t>at the launch of the drug</w:t>
      </w:r>
      <w:r w:rsidR="008B265D">
        <w:rPr>
          <w:rFonts w:ascii="Times New Roman" w:hAnsi="Times New Roman" w:cs="Times New Roman"/>
          <w:sz w:val="24"/>
          <w:szCs w:val="24"/>
        </w:rPr>
        <w:t>, and then grew to more than</w:t>
      </w:r>
      <w:r w:rsidR="006B6958">
        <w:rPr>
          <w:rFonts w:ascii="Times New Roman" w:hAnsi="Times New Roman" w:cs="Times New Roman"/>
          <w:sz w:val="24"/>
          <w:szCs w:val="24"/>
        </w:rPr>
        <w:t xml:space="preserve"> 230</w:t>
      </w:r>
      <w:r w:rsidR="008B265D">
        <w:rPr>
          <w:rFonts w:ascii="Times New Roman" w:hAnsi="Times New Roman" w:cs="Times New Roman"/>
          <w:sz w:val="24"/>
          <w:szCs w:val="24"/>
        </w:rPr>
        <w:t xml:space="preserve"> people</w:t>
      </w:r>
      <w:r w:rsidR="006B6958">
        <w:rPr>
          <w:rFonts w:ascii="Times New Roman" w:hAnsi="Times New Roman" w:cs="Times New Roman"/>
          <w:sz w:val="24"/>
          <w:szCs w:val="24"/>
        </w:rPr>
        <w:t xml:space="preserve"> in 2006</w:t>
      </w:r>
      <w:r w:rsidR="008B265D">
        <w:rPr>
          <w:rFonts w:ascii="Times New Roman" w:hAnsi="Times New Roman" w:cs="Times New Roman"/>
          <w:sz w:val="24"/>
          <w:szCs w:val="24"/>
        </w:rPr>
        <w:t xml:space="preserve">, and </w:t>
      </w:r>
      <w:r w:rsidR="006B6958">
        <w:rPr>
          <w:rFonts w:ascii="Times New Roman" w:hAnsi="Times New Roman" w:cs="Times New Roman"/>
          <w:sz w:val="24"/>
          <w:szCs w:val="24"/>
        </w:rPr>
        <w:t>that the</w:t>
      </w:r>
      <w:r w:rsidR="008B265D">
        <w:rPr>
          <w:rFonts w:ascii="Times New Roman" w:hAnsi="Times New Roman" w:cs="Times New Roman"/>
          <w:sz w:val="24"/>
          <w:szCs w:val="24"/>
        </w:rPr>
        <w:t xml:space="preserve">se sales </w:t>
      </w:r>
      <w:r w:rsidR="006B6958">
        <w:rPr>
          <w:rFonts w:ascii="Times New Roman" w:hAnsi="Times New Roman" w:cs="Times New Roman"/>
          <w:sz w:val="24"/>
          <w:szCs w:val="24"/>
        </w:rPr>
        <w:t xml:space="preserve">representatives </w:t>
      </w:r>
      <w:r w:rsidR="008B265D">
        <w:rPr>
          <w:rFonts w:ascii="Times New Roman" w:hAnsi="Times New Roman" w:cs="Times New Roman"/>
          <w:sz w:val="24"/>
          <w:szCs w:val="24"/>
        </w:rPr>
        <w:t>regularly</w:t>
      </w:r>
      <w:r w:rsidR="006B6958">
        <w:rPr>
          <w:rFonts w:ascii="Times New Roman" w:hAnsi="Times New Roman" w:cs="Times New Roman"/>
          <w:sz w:val="24"/>
          <w:szCs w:val="24"/>
        </w:rPr>
        <w:t xml:space="preserve"> discuss</w:t>
      </w:r>
      <w:r w:rsidR="008B265D">
        <w:rPr>
          <w:rFonts w:ascii="Times New Roman" w:hAnsi="Times New Roman" w:cs="Times New Roman"/>
          <w:sz w:val="24"/>
          <w:szCs w:val="24"/>
        </w:rPr>
        <w:t>ed</w:t>
      </w:r>
      <w:r w:rsidR="006B6958">
        <w:rPr>
          <w:rFonts w:ascii="Times New Roman" w:hAnsi="Times New Roman" w:cs="Times New Roman"/>
          <w:sz w:val="24"/>
          <w:szCs w:val="24"/>
        </w:rPr>
        <w:t xml:space="preserve"> off-label use with physicians</w:t>
      </w:r>
      <w:r w:rsidR="008B265D">
        <w:rPr>
          <w:rFonts w:ascii="Times New Roman" w:hAnsi="Times New Roman" w:cs="Times New Roman"/>
          <w:sz w:val="24"/>
          <w:szCs w:val="24"/>
        </w:rPr>
        <w:t>.</w:t>
      </w:r>
      <w:r w:rsidR="006B6958">
        <w:rPr>
          <w:rFonts w:ascii="Times New Roman" w:hAnsi="Times New Roman" w:cs="Times New Roman"/>
          <w:sz w:val="24"/>
          <w:szCs w:val="24"/>
        </w:rPr>
        <w:t xml:space="preserve"> </w:t>
      </w:r>
      <w:r w:rsidR="006B6958">
        <w:rPr>
          <w:rFonts w:ascii="Times New Roman" w:hAnsi="Times New Roman" w:cs="Times New Roman"/>
          <w:i/>
          <w:sz w:val="24"/>
          <w:szCs w:val="24"/>
        </w:rPr>
        <w:t xml:space="preserve">Id. </w:t>
      </w:r>
      <w:r w:rsidR="006B6958">
        <w:rPr>
          <w:rFonts w:ascii="Times New Roman" w:hAnsi="Times New Roman" w:cs="Times New Roman"/>
          <w:sz w:val="24"/>
          <w:szCs w:val="24"/>
        </w:rPr>
        <w:t xml:space="preserve">at 1039. </w:t>
      </w:r>
    </w:p>
    <w:p w:rsidR="009F3E7C" w:rsidRDefault="00F616D4" w:rsidP="00805BB7">
      <w:pPr>
        <w:spacing w:line="480" w:lineRule="auto"/>
        <w:rPr>
          <w:rFonts w:ascii="Times New Roman" w:hAnsi="Times New Roman" w:cs="Times New Roman"/>
          <w:sz w:val="24"/>
          <w:szCs w:val="24"/>
        </w:rPr>
      </w:pPr>
      <w:r>
        <w:rPr>
          <w:rFonts w:ascii="Times New Roman" w:hAnsi="Times New Roman" w:cs="Times New Roman"/>
          <w:sz w:val="24"/>
          <w:szCs w:val="24"/>
        </w:rPr>
        <w:tab/>
      </w:r>
      <w:r w:rsidR="006B1A1C">
        <w:rPr>
          <w:rFonts w:ascii="Times New Roman" w:hAnsi="Times New Roman" w:cs="Times New Roman"/>
          <w:sz w:val="24"/>
          <w:szCs w:val="24"/>
        </w:rPr>
        <w:t>To buttress her claim on</w:t>
      </w:r>
      <w:r>
        <w:rPr>
          <w:rFonts w:ascii="Times New Roman" w:hAnsi="Times New Roman" w:cs="Times New Roman"/>
          <w:sz w:val="24"/>
          <w:szCs w:val="24"/>
        </w:rPr>
        <w:t xml:space="preserve"> the element of causation, Brown provided expert analysis </w:t>
      </w:r>
      <w:r w:rsidR="006B1A1C">
        <w:rPr>
          <w:rFonts w:ascii="Times New Roman" w:hAnsi="Times New Roman" w:cs="Times New Roman"/>
          <w:sz w:val="24"/>
          <w:szCs w:val="24"/>
        </w:rPr>
        <w:t>of</w:t>
      </w:r>
      <w:r w:rsidRPr="00F616D4">
        <w:rPr>
          <w:rFonts w:ascii="Times New Roman" w:hAnsi="Times New Roman" w:cs="Times New Roman"/>
          <w:sz w:val="24"/>
          <w:szCs w:val="24"/>
        </w:rPr>
        <w:t xml:space="preserve"> sales contacts made by Celgene's sales representatives between August 2004 and May 2006. Celgene's sales representatives made 4,000</w:t>
      </w:r>
      <w:r>
        <w:rPr>
          <w:rFonts w:ascii="Times New Roman" w:hAnsi="Times New Roman" w:cs="Times New Roman"/>
          <w:sz w:val="24"/>
          <w:szCs w:val="24"/>
        </w:rPr>
        <w:t>-</w:t>
      </w:r>
      <w:r w:rsidRPr="00F616D4">
        <w:rPr>
          <w:rFonts w:ascii="Times New Roman" w:hAnsi="Times New Roman" w:cs="Times New Roman"/>
          <w:sz w:val="24"/>
          <w:szCs w:val="24"/>
        </w:rPr>
        <w:t xml:space="preserve">5,000 contacts per month, with </w:t>
      </w:r>
      <w:r>
        <w:rPr>
          <w:rFonts w:ascii="Times New Roman" w:hAnsi="Times New Roman" w:cs="Times New Roman"/>
          <w:sz w:val="24"/>
          <w:szCs w:val="24"/>
        </w:rPr>
        <w:t>almost</w:t>
      </w:r>
      <w:r w:rsidRPr="00F616D4">
        <w:rPr>
          <w:rFonts w:ascii="Times New Roman" w:hAnsi="Times New Roman" w:cs="Times New Roman"/>
          <w:sz w:val="24"/>
          <w:szCs w:val="24"/>
        </w:rPr>
        <w:t xml:space="preserve"> 80% of these contacts involving </w:t>
      </w:r>
      <w:r>
        <w:rPr>
          <w:rFonts w:ascii="Times New Roman" w:hAnsi="Times New Roman" w:cs="Times New Roman"/>
          <w:sz w:val="24"/>
          <w:szCs w:val="24"/>
        </w:rPr>
        <w:t>hematology or oncology, and</w:t>
      </w:r>
      <w:r w:rsidRPr="00F616D4">
        <w:rPr>
          <w:rFonts w:ascii="Times New Roman" w:hAnsi="Times New Roman" w:cs="Times New Roman"/>
          <w:sz w:val="24"/>
          <w:szCs w:val="24"/>
        </w:rPr>
        <w:t xml:space="preserve"> sold between 800,000 and 1,000,000 Thalomid capsules per month, </w:t>
      </w:r>
      <w:r>
        <w:rPr>
          <w:rFonts w:ascii="Times New Roman" w:hAnsi="Times New Roman" w:cs="Times New Roman"/>
          <w:sz w:val="24"/>
          <w:szCs w:val="24"/>
        </w:rPr>
        <w:t xml:space="preserve">with </w:t>
      </w:r>
      <w:r w:rsidRPr="00F616D4">
        <w:rPr>
          <w:rFonts w:ascii="Times New Roman" w:hAnsi="Times New Roman" w:cs="Times New Roman"/>
          <w:sz w:val="24"/>
          <w:szCs w:val="24"/>
        </w:rPr>
        <w:t xml:space="preserve">99.75% of sales between 2001 and 2005 </w:t>
      </w:r>
      <w:r>
        <w:rPr>
          <w:rFonts w:ascii="Times New Roman" w:hAnsi="Times New Roman" w:cs="Times New Roman"/>
          <w:sz w:val="24"/>
          <w:szCs w:val="24"/>
        </w:rPr>
        <w:t>for off-label uses</w:t>
      </w:r>
      <w:r w:rsidRPr="00F616D4">
        <w:rPr>
          <w:rFonts w:ascii="Times New Roman" w:hAnsi="Times New Roman" w:cs="Times New Roman"/>
          <w:sz w:val="24"/>
          <w:szCs w:val="24"/>
        </w:rPr>
        <w:t xml:space="preserve">. </w:t>
      </w:r>
      <w:r w:rsidR="006B1A1C">
        <w:rPr>
          <w:rFonts w:ascii="Times New Roman" w:hAnsi="Times New Roman" w:cs="Times New Roman"/>
          <w:sz w:val="24"/>
          <w:szCs w:val="24"/>
        </w:rPr>
        <w:t xml:space="preserve"> T</w:t>
      </w:r>
      <w:r>
        <w:rPr>
          <w:rFonts w:ascii="Times New Roman" w:hAnsi="Times New Roman" w:cs="Times New Roman"/>
          <w:sz w:val="24"/>
          <w:szCs w:val="24"/>
        </w:rPr>
        <w:t>he expert concluded that those</w:t>
      </w:r>
      <w:r w:rsidRPr="00F616D4">
        <w:rPr>
          <w:rFonts w:ascii="Times New Roman" w:hAnsi="Times New Roman" w:cs="Times New Roman"/>
          <w:sz w:val="24"/>
          <w:szCs w:val="24"/>
        </w:rPr>
        <w:t xml:space="preserve"> who received more promotional contacts prescribed at a higher rate than those who received fewer. </w:t>
      </w:r>
      <w:r w:rsidR="006B1A1C">
        <w:rPr>
          <w:rFonts w:ascii="Times New Roman" w:hAnsi="Times New Roman" w:cs="Times New Roman"/>
          <w:sz w:val="24"/>
          <w:szCs w:val="24"/>
        </w:rPr>
        <w:t xml:space="preserve"> </w:t>
      </w:r>
    </w:p>
    <w:p w:rsidR="00584432" w:rsidRDefault="006B1A1C" w:rsidP="009F3E7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noteworthy that Brown’s</w:t>
      </w:r>
      <w:r w:rsidR="0038189C">
        <w:rPr>
          <w:rFonts w:ascii="Times New Roman" w:hAnsi="Times New Roman" w:cs="Times New Roman"/>
          <w:sz w:val="24"/>
          <w:szCs w:val="24"/>
        </w:rPr>
        <w:t xml:space="preserve"> evidence</w:t>
      </w:r>
      <w:r w:rsidR="009F3E7C">
        <w:rPr>
          <w:rFonts w:ascii="Times New Roman" w:hAnsi="Times New Roman" w:cs="Times New Roman"/>
          <w:sz w:val="24"/>
          <w:szCs w:val="24"/>
        </w:rPr>
        <w:t xml:space="preserve"> on causation</w:t>
      </w:r>
      <w:r w:rsidR="0038189C">
        <w:rPr>
          <w:rFonts w:ascii="Times New Roman" w:hAnsi="Times New Roman" w:cs="Times New Roman"/>
          <w:sz w:val="24"/>
          <w:szCs w:val="24"/>
        </w:rPr>
        <w:t xml:space="preserve"> </w:t>
      </w:r>
      <w:r w:rsidR="009F3E7C">
        <w:rPr>
          <w:rFonts w:ascii="Times New Roman" w:hAnsi="Times New Roman" w:cs="Times New Roman"/>
          <w:sz w:val="24"/>
          <w:szCs w:val="24"/>
        </w:rPr>
        <w:t>appears to have been</w:t>
      </w:r>
      <w:r w:rsidR="0038189C">
        <w:rPr>
          <w:rFonts w:ascii="Times New Roman" w:hAnsi="Times New Roman" w:cs="Times New Roman"/>
          <w:sz w:val="24"/>
          <w:szCs w:val="24"/>
        </w:rPr>
        <w:t xml:space="preserve"> far more </w:t>
      </w:r>
      <w:r w:rsidR="009F3E7C">
        <w:rPr>
          <w:rFonts w:ascii="Times New Roman" w:hAnsi="Times New Roman" w:cs="Times New Roman"/>
          <w:sz w:val="24"/>
          <w:szCs w:val="24"/>
        </w:rPr>
        <w:t xml:space="preserve">detailed and </w:t>
      </w:r>
      <w:r w:rsidR="0038189C">
        <w:rPr>
          <w:rFonts w:ascii="Times New Roman" w:hAnsi="Times New Roman" w:cs="Times New Roman"/>
          <w:sz w:val="24"/>
          <w:szCs w:val="24"/>
        </w:rPr>
        <w:t xml:space="preserve">specific than the general economic study of correlation between marketing and prescribing </w:t>
      </w:r>
      <w:r>
        <w:rPr>
          <w:rFonts w:ascii="Times New Roman" w:hAnsi="Times New Roman" w:cs="Times New Roman"/>
          <w:sz w:val="24"/>
          <w:szCs w:val="24"/>
        </w:rPr>
        <w:t>produced by the relators</w:t>
      </w:r>
      <w:r w:rsidR="0038189C">
        <w:rPr>
          <w:rFonts w:ascii="Times New Roman" w:hAnsi="Times New Roman" w:cs="Times New Roman"/>
          <w:sz w:val="24"/>
          <w:szCs w:val="24"/>
        </w:rPr>
        <w:t xml:space="preserve"> in </w:t>
      </w:r>
      <w:r w:rsidR="0038189C">
        <w:rPr>
          <w:rFonts w:ascii="Times New Roman" w:hAnsi="Times New Roman" w:cs="Times New Roman"/>
          <w:i/>
          <w:sz w:val="24"/>
          <w:szCs w:val="24"/>
        </w:rPr>
        <w:t xml:space="preserve">King. </w:t>
      </w:r>
      <w:r w:rsidR="009F3E7C">
        <w:rPr>
          <w:rFonts w:ascii="Times New Roman" w:hAnsi="Times New Roman" w:cs="Times New Roman"/>
          <w:i/>
          <w:sz w:val="24"/>
          <w:szCs w:val="24"/>
        </w:rPr>
        <w:t xml:space="preserve"> </w:t>
      </w:r>
      <w:r w:rsidR="009F3E7C">
        <w:rPr>
          <w:rFonts w:ascii="Times New Roman" w:hAnsi="Times New Roman" w:cs="Times New Roman"/>
          <w:sz w:val="24"/>
          <w:szCs w:val="24"/>
        </w:rPr>
        <w:t xml:space="preserve">Moreover, unlike the relator in </w:t>
      </w:r>
      <w:r w:rsidR="009F3E7C" w:rsidRPr="009F3E7C">
        <w:rPr>
          <w:rFonts w:ascii="Times New Roman" w:hAnsi="Times New Roman" w:cs="Times New Roman"/>
          <w:i/>
          <w:sz w:val="24"/>
          <w:szCs w:val="24"/>
        </w:rPr>
        <w:t>King</w:t>
      </w:r>
      <w:r w:rsidR="009F3E7C">
        <w:rPr>
          <w:rFonts w:ascii="Times New Roman" w:hAnsi="Times New Roman" w:cs="Times New Roman"/>
          <w:sz w:val="24"/>
          <w:szCs w:val="24"/>
        </w:rPr>
        <w:t>, who could point only to a few specific examples of off-label prescribing by doctors in Texas, Brown introduced evidence of the widespread submission of off-label claims for Thalomid and Revlimid.  Indeed, Brown</w:t>
      </w:r>
      <w:r w:rsidR="00BD7A03">
        <w:rPr>
          <w:rFonts w:ascii="Times New Roman" w:hAnsi="Times New Roman" w:cs="Times New Roman"/>
          <w:sz w:val="24"/>
          <w:szCs w:val="24"/>
        </w:rPr>
        <w:t xml:space="preserve">’s expert witness estimated that </w:t>
      </w:r>
      <w:r w:rsidR="009F3E7C">
        <w:rPr>
          <w:rFonts w:ascii="Times New Roman" w:hAnsi="Times New Roman" w:cs="Times New Roman"/>
          <w:sz w:val="24"/>
          <w:szCs w:val="24"/>
        </w:rPr>
        <w:t>approximately</w:t>
      </w:r>
      <w:r w:rsidR="00560D64" w:rsidRPr="00560D64">
        <w:rPr>
          <w:rFonts w:ascii="Times New Roman" w:hAnsi="Times New Roman" w:cs="Times New Roman"/>
          <w:sz w:val="24"/>
          <w:szCs w:val="24"/>
        </w:rPr>
        <w:t xml:space="preserve"> 43,092 claims for off-label use of Thalomid presented to Medicare between 1999 and 2005</w:t>
      </w:r>
      <w:r w:rsidR="009F3E7C">
        <w:rPr>
          <w:rFonts w:ascii="Times New Roman" w:hAnsi="Times New Roman" w:cs="Times New Roman"/>
          <w:sz w:val="24"/>
          <w:szCs w:val="24"/>
        </w:rPr>
        <w:t>, and a</w:t>
      </w:r>
      <w:r w:rsidR="00560D64" w:rsidRPr="00560D64">
        <w:rPr>
          <w:rFonts w:ascii="Times New Roman" w:hAnsi="Times New Roman" w:cs="Times New Roman"/>
          <w:sz w:val="24"/>
          <w:szCs w:val="24"/>
        </w:rPr>
        <w:t>nother 133,854 claims for off-label uses of Thalomid and 152,060 claims for off-label uses of Revlimid after 2005.</w:t>
      </w:r>
      <w:r w:rsidR="00584432">
        <w:rPr>
          <w:rFonts w:ascii="Times New Roman" w:hAnsi="Times New Roman" w:cs="Times New Roman"/>
          <w:sz w:val="24"/>
          <w:szCs w:val="24"/>
        </w:rPr>
        <w:t xml:space="preserve"> </w:t>
      </w:r>
      <w:r w:rsidR="009F3E7C">
        <w:rPr>
          <w:rFonts w:ascii="Times New Roman" w:hAnsi="Times New Roman" w:cs="Times New Roman"/>
          <w:sz w:val="24"/>
          <w:szCs w:val="24"/>
        </w:rPr>
        <w:t>Based on this evidence, the district judge concluded:</w:t>
      </w:r>
      <w:r w:rsidR="00584432">
        <w:rPr>
          <w:rFonts w:ascii="Times New Roman" w:hAnsi="Times New Roman" w:cs="Times New Roman"/>
          <w:sz w:val="24"/>
          <w:szCs w:val="24"/>
        </w:rPr>
        <w:t xml:space="preserve"> </w:t>
      </w:r>
    </w:p>
    <w:p w:rsidR="00F616D4" w:rsidRDefault="00584432" w:rsidP="00584432">
      <w:pPr>
        <w:ind w:left="1440"/>
        <w:rPr>
          <w:rFonts w:ascii="Times New Roman" w:hAnsi="Times New Roman" w:cs="Times New Roman"/>
          <w:sz w:val="24"/>
          <w:szCs w:val="24"/>
        </w:rPr>
      </w:pPr>
      <w:r w:rsidRPr="00584432">
        <w:rPr>
          <w:rFonts w:ascii="Times New Roman" w:hAnsi="Times New Roman" w:cs="Times New Roman"/>
          <w:sz w:val="24"/>
          <w:szCs w:val="24"/>
        </w:rPr>
        <w:t>Brown's evidence shows that Celgene engaged in a systematic campaign to promote off-label uses of Thalomid and Revlimid, that physicians who received more promotional contacts prescribed at a higher rate than those who received fewer contacts, that Celgene knew its promotional activities were delivering results, and that marketing to doctors is generally effective.</w:t>
      </w:r>
      <w:r>
        <w:rPr>
          <w:rFonts w:ascii="Times New Roman" w:hAnsi="Times New Roman" w:cs="Times New Roman"/>
          <w:sz w:val="24"/>
          <w:szCs w:val="24"/>
        </w:rPr>
        <w:t xml:space="preserve"> </w:t>
      </w:r>
    </w:p>
    <w:p w:rsidR="00584432" w:rsidRDefault="00584432" w:rsidP="00584432">
      <w:pPr>
        <w:ind w:left="1440"/>
        <w:rPr>
          <w:rFonts w:ascii="Times New Roman" w:hAnsi="Times New Roman" w:cs="Times New Roman"/>
          <w:sz w:val="24"/>
          <w:szCs w:val="24"/>
        </w:rPr>
      </w:pPr>
    </w:p>
    <w:p w:rsidR="00584432" w:rsidRDefault="00584432" w:rsidP="00584432">
      <w:pPr>
        <w:spacing w:line="480" w:lineRule="auto"/>
        <w:rPr>
          <w:rFonts w:ascii="Times New Roman" w:hAnsi="Times New Roman" w:cs="Times New Roman"/>
          <w:sz w:val="24"/>
          <w:szCs w:val="24"/>
        </w:rPr>
      </w:pPr>
      <w:r>
        <w:rPr>
          <w:rFonts w:ascii="Times New Roman" w:hAnsi="Times New Roman" w:cs="Times New Roman"/>
          <w:i/>
          <w:sz w:val="24"/>
          <w:szCs w:val="24"/>
        </w:rPr>
        <w:t xml:space="preserve">Id. </w:t>
      </w:r>
      <w:r>
        <w:rPr>
          <w:rFonts w:ascii="Times New Roman" w:hAnsi="Times New Roman" w:cs="Times New Roman"/>
          <w:sz w:val="24"/>
          <w:szCs w:val="24"/>
        </w:rPr>
        <w:t xml:space="preserve">at 1040. </w:t>
      </w:r>
    </w:p>
    <w:p w:rsidR="00DF7FCB" w:rsidRDefault="004A76BC" w:rsidP="00584432">
      <w:pPr>
        <w:spacing w:line="480" w:lineRule="auto"/>
        <w:rPr>
          <w:rFonts w:ascii="Times New Roman" w:hAnsi="Times New Roman" w:cs="Times New Roman"/>
          <w:sz w:val="24"/>
          <w:szCs w:val="24"/>
        </w:rPr>
      </w:pPr>
      <w:r>
        <w:rPr>
          <w:rFonts w:ascii="Times New Roman" w:hAnsi="Times New Roman" w:cs="Times New Roman"/>
          <w:sz w:val="24"/>
          <w:szCs w:val="24"/>
        </w:rPr>
        <w:tab/>
      </w:r>
      <w:r w:rsidR="009F3E7C">
        <w:rPr>
          <w:rFonts w:ascii="Times New Roman" w:hAnsi="Times New Roman" w:cs="Times New Roman"/>
          <w:sz w:val="24"/>
          <w:szCs w:val="24"/>
        </w:rPr>
        <w:t>After determining that Brown had sufficient evidence of causation, the district judge focused on the question</w:t>
      </w:r>
      <w:r w:rsidR="008206A8">
        <w:rPr>
          <w:rFonts w:ascii="Times New Roman" w:hAnsi="Times New Roman" w:cs="Times New Roman"/>
          <w:sz w:val="24"/>
          <w:szCs w:val="24"/>
        </w:rPr>
        <w:t xml:space="preserve"> of materiality.  </w:t>
      </w:r>
      <w:r w:rsidR="00BD7A03">
        <w:rPr>
          <w:rFonts w:ascii="Times New Roman" w:hAnsi="Times New Roman" w:cs="Times New Roman"/>
          <w:sz w:val="24"/>
          <w:szCs w:val="24"/>
        </w:rPr>
        <w:t>Brown contended that the c</w:t>
      </w:r>
      <w:r w:rsidR="008206A8" w:rsidRPr="008206A8">
        <w:rPr>
          <w:rFonts w:ascii="Times New Roman" w:hAnsi="Times New Roman" w:cs="Times New Roman"/>
          <w:sz w:val="24"/>
          <w:szCs w:val="24"/>
        </w:rPr>
        <w:t xml:space="preserve">laims for off-label prescriptions of Thalomid and Revlimid were false because providers failed to disclose that the claims were not for medically accepted indications. </w:t>
      </w:r>
      <w:r w:rsidR="00BD7A03">
        <w:rPr>
          <w:rFonts w:ascii="Times New Roman" w:hAnsi="Times New Roman" w:cs="Times New Roman"/>
          <w:sz w:val="24"/>
          <w:szCs w:val="24"/>
        </w:rPr>
        <w:t xml:space="preserve">The court found that </w:t>
      </w:r>
      <w:r w:rsidR="008206A8" w:rsidRPr="008206A8">
        <w:rPr>
          <w:rFonts w:ascii="Times New Roman" w:hAnsi="Times New Roman" w:cs="Times New Roman"/>
          <w:sz w:val="24"/>
          <w:szCs w:val="24"/>
        </w:rPr>
        <w:t xml:space="preserve">Medicare Part D may only reimburse </w:t>
      </w:r>
      <w:r w:rsidR="008206A8">
        <w:rPr>
          <w:rFonts w:ascii="Times New Roman" w:hAnsi="Times New Roman" w:cs="Times New Roman"/>
          <w:sz w:val="24"/>
          <w:szCs w:val="24"/>
        </w:rPr>
        <w:t>covered drugs</w:t>
      </w:r>
      <w:r w:rsidR="008206A8" w:rsidRPr="008206A8">
        <w:rPr>
          <w:rFonts w:ascii="Times New Roman" w:hAnsi="Times New Roman" w:cs="Times New Roman"/>
          <w:sz w:val="24"/>
          <w:szCs w:val="24"/>
        </w:rPr>
        <w:t xml:space="preserve"> which must be “used for a medically accepted indication.” </w:t>
      </w:r>
      <w:r w:rsidR="00BD7A03" w:rsidRPr="00BD7A03">
        <w:rPr>
          <w:rFonts w:ascii="Times New Roman" w:hAnsi="Times New Roman" w:cs="Times New Roman"/>
          <w:i/>
          <w:sz w:val="24"/>
          <w:szCs w:val="24"/>
        </w:rPr>
        <w:t>Id</w:t>
      </w:r>
      <w:r w:rsidR="00BD7A03">
        <w:rPr>
          <w:rFonts w:ascii="Times New Roman" w:hAnsi="Times New Roman" w:cs="Times New Roman"/>
          <w:sz w:val="24"/>
          <w:szCs w:val="24"/>
        </w:rPr>
        <w:t xml:space="preserve">. at 1049 (quoting </w:t>
      </w:r>
      <w:r w:rsidR="008206A8" w:rsidRPr="008206A8">
        <w:rPr>
          <w:rFonts w:ascii="Times New Roman" w:hAnsi="Times New Roman" w:cs="Times New Roman"/>
          <w:sz w:val="24"/>
          <w:szCs w:val="24"/>
        </w:rPr>
        <w:t>42 C.F.R. § 423.100</w:t>
      </w:r>
      <w:r w:rsidR="00BD7A03">
        <w:rPr>
          <w:rFonts w:ascii="Times New Roman" w:hAnsi="Times New Roman" w:cs="Times New Roman"/>
          <w:sz w:val="24"/>
          <w:szCs w:val="24"/>
        </w:rPr>
        <w:t>)</w:t>
      </w:r>
      <w:r w:rsidR="008206A8" w:rsidRPr="008206A8">
        <w:rPr>
          <w:rFonts w:ascii="Times New Roman" w:hAnsi="Times New Roman" w:cs="Times New Roman"/>
          <w:sz w:val="24"/>
          <w:szCs w:val="24"/>
        </w:rPr>
        <w:t>.</w:t>
      </w:r>
      <w:r w:rsidR="00BD7A03">
        <w:rPr>
          <w:rFonts w:ascii="Times New Roman" w:hAnsi="Times New Roman" w:cs="Times New Roman"/>
          <w:sz w:val="24"/>
          <w:szCs w:val="24"/>
        </w:rPr>
        <w:t xml:space="preserve"> </w:t>
      </w:r>
      <w:r w:rsidR="008206A8" w:rsidRPr="008206A8">
        <w:rPr>
          <w:rFonts w:ascii="Times New Roman" w:hAnsi="Times New Roman" w:cs="Times New Roman"/>
          <w:sz w:val="24"/>
          <w:szCs w:val="24"/>
        </w:rPr>
        <w:t xml:space="preserve"> </w:t>
      </w:r>
      <w:r w:rsidR="00BD7A03">
        <w:rPr>
          <w:rFonts w:ascii="Times New Roman" w:hAnsi="Times New Roman" w:cs="Times New Roman"/>
          <w:sz w:val="24"/>
          <w:szCs w:val="24"/>
        </w:rPr>
        <w:t xml:space="preserve">The district court </w:t>
      </w:r>
      <w:r w:rsidR="008206A8">
        <w:rPr>
          <w:rFonts w:ascii="Times New Roman" w:hAnsi="Times New Roman" w:cs="Times New Roman"/>
          <w:sz w:val="24"/>
          <w:szCs w:val="24"/>
        </w:rPr>
        <w:t xml:space="preserve">acknowledged that </w:t>
      </w:r>
      <w:r w:rsidR="00BD7A03">
        <w:rPr>
          <w:rFonts w:ascii="Times New Roman" w:hAnsi="Times New Roman" w:cs="Times New Roman"/>
          <w:sz w:val="24"/>
          <w:szCs w:val="24"/>
        </w:rPr>
        <w:t xml:space="preserve">while this </w:t>
      </w:r>
      <w:r w:rsidR="00DF7FCB">
        <w:rPr>
          <w:rFonts w:ascii="Times New Roman" w:hAnsi="Times New Roman" w:cs="Times New Roman"/>
          <w:sz w:val="24"/>
          <w:szCs w:val="24"/>
        </w:rPr>
        <w:t>coverage</w:t>
      </w:r>
      <w:r w:rsidR="00BD7A03">
        <w:rPr>
          <w:rFonts w:ascii="Times New Roman" w:hAnsi="Times New Roman" w:cs="Times New Roman"/>
          <w:sz w:val="24"/>
          <w:szCs w:val="24"/>
        </w:rPr>
        <w:t xml:space="preserve"> </w:t>
      </w:r>
      <w:r w:rsidR="00DF7FCB">
        <w:rPr>
          <w:rFonts w:ascii="Times New Roman" w:hAnsi="Times New Roman" w:cs="Times New Roman"/>
          <w:sz w:val="24"/>
          <w:szCs w:val="24"/>
        </w:rPr>
        <w:t>limitation</w:t>
      </w:r>
      <w:r w:rsidR="00BD7A03">
        <w:rPr>
          <w:rFonts w:ascii="Times New Roman" w:hAnsi="Times New Roman" w:cs="Times New Roman"/>
          <w:sz w:val="24"/>
          <w:szCs w:val="24"/>
        </w:rPr>
        <w:t xml:space="preserve"> was not “automatically dispositive” of</w:t>
      </w:r>
      <w:r w:rsidR="008206A8" w:rsidRPr="008206A8">
        <w:rPr>
          <w:rFonts w:ascii="Times New Roman" w:hAnsi="Times New Roman" w:cs="Times New Roman"/>
          <w:sz w:val="24"/>
          <w:szCs w:val="24"/>
        </w:rPr>
        <w:t xml:space="preserve"> the materiali</w:t>
      </w:r>
      <w:r w:rsidR="008206A8">
        <w:rPr>
          <w:rFonts w:ascii="Times New Roman" w:hAnsi="Times New Roman" w:cs="Times New Roman"/>
          <w:sz w:val="24"/>
          <w:szCs w:val="24"/>
        </w:rPr>
        <w:t>ty inquiry,</w:t>
      </w:r>
      <w:r w:rsidR="00BD7A03">
        <w:rPr>
          <w:rFonts w:ascii="Times New Roman" w:hAnsi="Times New Roman" w:cs="Times New Roman"/>
          <w:sz w:val="24"/>
          <w:szCs w:val="24"/>
        </w:rPr>
        <w:t xml:space="preserve"> it was highly relevant.</w:t>
      </w:r>
      <w:r w:rsidR="008206A8" w:rsidRPr="008206A8">
        <w:rPr>
          <w:rFonts w:ascii="Times New Roman" w:hAnsi="Times New Roman" w:cs="Times New Roman"/>
          <w:sz w:val="24"/>
          <w:szCs w:val="24"/>
        </w:rPr>
        <w:t xml:space="preserve"> </w:t>
      </w:r>
      <w:r w:rsidR="008206A8">
        <w:rPr>
          <w:rFonts w:ascii="Times New Roman" w:hAnsi="Times New Roman" w:cs="Times New Roman"/>
          <w:i/>
          <w:sz w:val="24"/>
          <w:szCs w:val="24"/>
        </w:rPr>
        <w:t>Id</w:t>
      </w:r>
      <w:r w:rsidR="008206A8" w:rsidRPr="008206A8">
        <w:rPr>
          <w:rFonts w:ascii="Times New Roman" w:hAnsi="Times New Roman" w:cs="Times New Roman"/>
          <w:sz w:val="24"/>
          <w:szCs w:val="24"/>
        </w:rPr>
        <w:t xml:space="preserve">. </w:t>
      </w:r>
      <w:r w:rsidR="00BD7A03">
        <w:rPr>
          <w:rFonts w:ascii="Times New Roman" w:hAnsi="Times New Roman" w:cs="Times New Roman"/>
          <w:sz w:val="24"/>
          <w:szCs w:val="24"/>
        </w:rPr>
        <w:t xml:space="preserve"> </w:t>
      </w:r>
      <w:r w:rsidR="00DF7FCB">
        <w:rPr>
          <w:rFonts w:ascii="Times New Roman" w:hAnsi="Times New Roman" w:cs="Times New Roman"/>
          <w:sz w:val="24"/>
          <w:szCs w:val="24"/>
        </w:rPr>
        <w:t>Finding</w:t>
      </w:r>
      <w:r w:rsidR="00BD7A03">
        <w:rPr>
          <w:rFonts w:ascii="Times New Roman" w:hAnsi="Times New Roman" w:cs="Times New Roman"/>
          <w:sz w:val="24"/>
          <w:szCs w:val="24"/>
        </w:rPr>
        <w:t xml:space="preserve"> </w:t>
      </w:r>
      <w:r w:rsidR="00067553">
        <w:rPr>
          <w:rFonts w:ascii="Times New Roman" w:hAnsi="Times New Roman" w:cs="Times New Roman"/>
          <w:sz w:val="24"/>
          <w:szCs w:val="24"/>
        </w:rPr>
        <w:t xml:space="preserve">that </w:t>
      </w:r>
      <w:r w:rsidR="00DF7FCB">
        <w:rPr>
          <w:rFonts w:ascii="Times New Roman" w:hAnsi="Times New Roman" w:cs="Times New Roman"/>
          <w:sz w:val="24"/>
          <w:szCs w:val="24"/>
        </w:rPr>
        <w:t xml:space="preserve">coverage limitations </w:t>
      </w:r>
      <w:r w:rsidR="00067553">
        <w:rPr>
          <w:rFonts w:ascii="Times New Roman" w:hAnsi="Times New Roman" w:cs="Times New Roman"/>
          <w:sz w:val="24"/>
          <w:szCs w:val="24"/>
        </w:rPr>
        <w:t xml:space="preserve">are an </w:t>
      </w:r>
      <w:r w:rsidR="00BD7A03">
        <w:rPr>
          <w:rFonts w:ascii="Times New Roman" w:hAnsi="Times New Roman" w:cs="Times New Roman"/>
          <w:sz w:val="24"/>
          <w:szCs w:val="24"/>
        </w:rPr>
        <w:t>“</w:t>
      </w:r>
      <w:r w:rsidR="00067553">
        <w:rPr>
          <w:rFonts w:ascii="Times New Roman" w:hAnsi="Times New Roman" w:cs="Times New Roman"/>
          <w:sz w:val="24"/>
          <w:szCs w:val="24"/>
        </w:rPr>
        <w:t>essential feature</w:t>
      </w:r>
      <w:r w:rsidR="00BD7A03">
        <w:rPr>
          <w:rFonts w:ascii="Times New Roman" w:hAnsi="Times New Roman" w:cs="Times New Roman"/>
          <w:sz w:val="24"/>
          <w:szCs w:val="24"/>
        </w:rPr>
        <w:t>”</w:t>
      </w:r>
      <w:r w:rsidR="00067553">
        <w:rPr>
          <w:rFonts w:ascii="Times New Roman" w:hAnsi="Times New Roman" w:cs="Times New Roman"/>
          <w:sz w:val="24"/>
          <w:szCs w:val="24"/>
        </w:rPr>
        <w:t xml:space="preserve"> of the Medicare Part D Program,</w:t>
      </w:r>
      <w:r w:rsidR="008206A8">
        <w:rPr>
          <w:rFonts w:ascii="Times New Roman" w:hAnsi="Times New Roman" w:cs="Times New Roman"/>
          <w:sz w:val="24"/>
          <w:szCs w:val="24"/>
        </w:rPr>
        <w:t xml:space="preserve"> </w:t>
      </w:r>
      <w:r w:rsidR="00DF7FCB">
        <w:rPr>
          <w:rFonts w:ascii="Times New Roman" w:hAnsi="Times New Roman" w:cs="Times New Roman"/>
          <w:sz w:val="24"/>
          <w:szCs w:val="24"/>
        </w:rPr>
        <w:t xml:space="preserve">the court concluded: </w:t>
      </w:r>
      <w:r w:rsidR="008206A8">
        <w:rPr>
          <w:rFonts w:ascii="Times New Roman" w:hAnsi="Times New Roman" w:cs="Times New Roman"/>
          <w:sz w:val="24"/>
          <w:szCs w:val="24"/>
        </w:rPr>
        <w:t>“</w:t>
      </w:r>
      <w:r w:rsidR="008206A8" w:rsidRPr="00DF7FCB">
        <w:rPr>
          <w:rFonts w:ascii="Times New Roman" w:hAnsi="Times New Roman" w:cs="Times New Roman"/>
          <w:i/>
          <w:sz w:val="24"/>
          <w:szCs w:val="24"/>
        </w:rPr>
        <w:t>Escobar</w:t>
      </w:r>
      <w:r w:rsidR="008206A8" w:rsidRPr="008206A8">
        <w:rPr>
          <w:rFonts w:ascii="Times New Roman" w:hAnsi="Times New Roman" w:cs="Times New Roman"/>
          <w:sz w:val="24"/>
          <w:szCs w:val="24"/>
        </w:rPr>
        <w:t xml:space="preserve"> does not </w:t>
      </w:r>
      <w:r w:rsidR="008206A8">
        <w:rPr>
          <w:rFonts w:ascii="Times New Roman" w:hAnsi="Times New Roman" w:cs="Times New Roman"/>
          <w:sz w:val="24"/>
          <w:szCs w:val="24"/>
        </w:rPr>
        <w:t>foreclose</w:t>
      </w:r>
      <w:r w:rsidR="008206A8" w:rsidRPr="008206A8">
        <w:rPr>
          <w:rFonts w:ascii="Times New Roman" w:hAnsi="Times New Roman" w:cs="Times New Roman"/>
          <w:sz w:val="24"/>
          <w:szCs w:val="24"/>
        </w:rPr>
        <w:t xml:space="preserve"> the possibility that a statutory requirement may be so central to the functioning of a government program that noncompliance is material as a matter of law</w:t>
      </w:r>
      <w:r w:rsidR="00067553">
        <w:rPr>
          <w:rFonts w:ascii="Times New Roman" w:hAnsi="Times New Roman" w:cs="Times New Roman"/>
          <w:sz w:val="24"/>
          <w:szCs w:val="24"/>
        </w:rPr>
        <w:t xml:space="preserve">” </w:t>
      </w:r>
      <w:r w:rsidR="00067553">
        <w:rPr>
          <w:rFonts w:ascii="Times New Roman" w:hAnsi="Times New Roman" w:cs="Times New Roman"/>
          <w:i/>
          <w:sz w:val="24"/>
          <w:szCs w:val="24"/>
        </w:rPr>
        <w:t>Id</w:t>
      </w:r>
      <w:r w:rsidR="00DF7FCB">
        <w:rPr>
          <w:rFonts w:ascii="Times New Roman" w:hAnsi="Times New Roman" w:cs="Times New Roman"/>
          <w:i/>
          <w:sz w:val="24"/>
          <w:szCs w:val="24"/>
        </w:rPr>
        <w:t>.</w:t>
      </w:r>
    </w:p>
    <w:p w:rsidR="00DF7FCB" w:rsidRDefault="00067553" w:rsidP="006B31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Celgene </w:t>
      </w:r>
      <w:r w:rsidR="00DF7FCB">
        <w:rPr>
          <w:rFonts w:ascii="Times New Roman" w:hAnsi="Times New Roman" w:cs="Times New Roman"/>
          <w:sz w:val="24"/>
          <w:szCs w:val="24"/>
        </w:rPr>
        <w:t xml:space="preserve">argued that its off-label marketing could not be material, claiming </w:t>
      </w:r>
      <w:r w:rsidR="006B3128">
        <w:rPr>
          <w:rFonts w:ascii="Times New Roman" w:hAnsi="Times New Roman" w:cs="Times New Roman"/>
          <w:sz w:val="24"/>
          <w:szCs w:val="24"/>
        </w:rPr>
        <w:t xml:space="preserve">that the Government had “actual knowledge” of the alleged violations, yet continued to pay the disputed claims.  Celgene contended that </w:t>
      </w:r>
      <w:r w:rsidR="00DF7FCB">
        <w:rPr>
          <w:rFonts w:ascii="Times New Roman" w:hAnsi="Times New Roman" w:cs="Times New Roman"/>
          <w:sz w:val="24"/>
          <w:szCs w:val="24"/>
        </w:rPr>
        <w:t xml:space="preserve">from the time Thalomid and Revlimid had </w:t>
      </w:r>
      <w:r w:rsidR="006B3128">
        <w:rPr>
          <w:rFonts w:ascii="Times New Roman" w:hAnsi="Times New Roman" w:cs="Times New Roman"/>
          <w:sz w:val="24"/>
          <w:szCs w:val="24"/>
        </w:rPr>
        <w:t xml:space="preserve">first </w:t>
      </w:r>
      <w:r w:rsidR="00DF7FCB">
        <w:rPr>
          <w:rFonts w:ascii="Times New Roman" w:hAnsi="Times New Roman" w:cs="Times New Roman"/>
          <w:sz w:val="24"/>
          <w:szCs w:val="24"/>
        </w:rPr>
        <w:t>been approved, FDA was aware that they were being used off-label</w:t>
      </w:r>
      <w:r w:rsidR="006B3128">
        <w:rPr>
          <w:rFonts w:ascii="Times New Roman" w:hAnsi="Times New Roman" w:cs="Times New Roman"/>
          <w:sz w:val="24"/>
          <w:szCs w:val="24"/>
        </w:rPr>
        <w:t xml:space="preserve"> –</w:t>
      </w:r>
      <w:r w:rsidR="00DF7FCB">
        <w:rPr>
          <w:rFonts w:ascii="Times New Roman" w:hAnsi="Times New Roman" w:cs="Times New Roman"/>
          <w:sz w:val="24"/>
          <w:szCs w:val="24"/>
        </w:rPr>
        <w:t xml:space="preserve"> and</w:t>
      </w:r>
      <w:r w:rsidR="006B3128">
        <w:rPr>
          <w:rFonts w:ascii="Times New Roman" w:hAnsi="Times New Roman" w:cs="Times New Roman"/>
          <w:sz w:val="24"/>
          <w:szCs w:val="24"/>
        </w:rPr>
        <w:t>,</w:t>
      </w:r>
      <w:r w:rsidR="00DF7FCB">
        <w:rPr>
          <w:rFonts w:ascii="Times New Roman" w:hAnsi="Times New Roman" w:cs="Times New Roman"/>
          <w:sz w:val="24"/>
          <w:szCs w:val="24"/>
        </w:rPr>
        <w:t xml:space="preserve"> indeed, Celegene itself had submitted</w:t>
      </w:r>
      <w:r>
        <w:rPr>
          <w:rFonts w:ascii="Times New Roman" w:hAnsi="Times New Roman" w:cs="Times New Roman"/>
          <w:sz w:val="24"/>
          <w:szCs w:val="24"/>
        </w:rPr>
        <w:t xml:space="preserve"> reports to the FDA disclosing off-label uses of </w:t>
      </w:r>
      <w:r w:rsidR="00DF7FCB">
        <w:rPr>
          <w:rFonts w:ascii="Times New Roman" w:hAnsi="Times New Roman" w:cs="Times New Roman"/>
          <w:sz w:val="24"/>
          <w:szCs w:val="24"/>
        </w:rPr>
        <w:t>those drugs</w:t>
      </w:r>
      <w:r>
        <w:rPr>
          <w:rFonts w:ascii="Times New Roman" w:hAnsi="Times New Roman" w:cs="Times New Roman"/>
          <w:sz w:val="24"/>
          <w:szCs w:val="24"/>
        </w:rPr>
        <w:t xml:space="preserve">. </w:t>
      </w:r>
      <w:r w:rsidR="006B3128">
        <w:rPr>
          <w:rFonts w:ascii="Times New Roman" w:hAnsi="Times New Roman" w:cs="Times New Roman"/>
          <w:sz w:val="24"/>
          <w:szCs w:val="24"/>
        </w:rPr>
        <w:t xml:space="preserve">The court rejected this argument, holding: </w:t>
      </w:r>
      <w:r w:rsidR="006B3128" w:rsidRPr="006B3128">
        <w:rPr>
          <w:rFonts w:ascii="Times New Roman" w:hAnsi="Times New Roman" w:cs="Times New Roman"/>
          <w:sz w:val="24"/>
          <w:szCs w:val="24"/>
        </w:rPr>
        <w:t>“</w:t>
      </w:r>
      <w:r w:rsidR="006B3128" w:rsidRPr="006B3128">
        <w:rPr>
          <w:rFonts w:ascii="Times New Roman" w:hAnsi="Times New Roman" w:cs="Times New Roman"/>
          <w:color w:val="000000"/>
          <w:sz w:val="24"/>
          <w:szCs w:val="24"/>
        </w:rPr>
        <w:t>The fact that the FDA knew generally about off-label use does not mean CMS knew about and agreed to reimburse particular off-label claims.</w:t>
      </w:r>
      <w:r w:rsidR="006B3128" w:rsidRPr="006B3128">
        <w:rPr>
          <w:rFonts w:ascii="Times New Roman" w:hAnsi="Times New Roman" w:cs="Times New Roman"/>
          <w:sz w:val="24"/>
          <w:szCs w:val="24"/>
        </w:rPr>
        <w:t>”</w:t>
      </w:r>
      <w:r w:rsidR="006B3128">
        <w:rPr>
          <w:rFonts w:ascii="Times New Roman" w:hAnsi="Times New Roman" w:cs="Times New Roman"/>
          <w:sz w:val="24"/>
          <w:szCs w:val="24"/>
        </w:rPr>
        <w:t xml:space="preserve">  Id. at 1050.  </w:t>
      </w:r>
      <w:r w:rsidR="00DF7FCB">
        <w:rPr>
          <w:rFonts w:ascii="Times New Roman" w:hAnsi="Times New Roman" w:cs="Times New Roman"/>
          <w:sz w:val="24"/>
          <w:szCs w:val="24"/>
        </w:rPr>
        <w:t xml:space="preserve">Celegene </w:t>
      </w:r>
      <w:r w:rsidR="006B3128">
        <w:rPr>
          <w:rFonts w:ascii="Times New Roman" w:hAnsi="Times New Roman" w:cs="Times New Roman"/>
          <w:sz w:val="24"/>
          <w:szCs w:val="24"/>
        </w:rPr>
        <w:t>further</w:t>
      </w:r>
      <w:r w:rsidR="00DF7FCB">
        <w:rPr>
          <w:rFonts w:ascii="Times New Roman" w:hAnsi="Times New Roman" w:cs="Times New Roman"/>
          <w:sz w:val="24"/>
          <w:szCs w:val="24"/>
        </w:rPr>
        <w:t xml:space="preserve"> </w:t>
      </w:r>
      <w:r w:rsidR="006B3128">
        <w:rPr>
          <w:rFonts w:ascii="Times New Roman" w:hAnsi="Times New Roman" w:cs="Times New Roman"/>
          <w:sz w:val="24"/>
          <w:szCs w:val="24"/>
        </w:rPr>
        <w:t>argued</w:t>
      </w:r>
      <w:r w:rsidR="00DF7FCB">
        <w:rPr>
          <w:rFonts w:ascii="Times New Roman" w:hAnsi="Times New Roman" w:cs="Times New Roman"/>
          <w:sz w:val="24"/>
          <w:szCs w:val="24"/>
        </w:rPr>
        <w:t xml:space="preserve"> that</w:t>
      </w:r>
      <w:r w:rsidR="006B3128">
        <w:rPr>
          <w:rFonts w:ascii="Times New Roman" w:hAnsi="Times New Roman" w:cs="Times New Roman"/>
          <w:sz w:val="24"/>
          <w:szCs w:val="24"/>
        </w:rPr>
        <w:t xml:space="preserve"> </w:t>
      </w:r>
      <w:r w:rsidR="00DF7FCB">
        <w:rPr>
          <w:rFonts w:ascii="Times New Roman" w:hAnsi="Times New Roman" w:cs="Times New Roman"/>
          <w:sz w:val="24"/>
          <w:szCs w:val="24"/>
        </w:rPr>
        <w:t xml:space="preserve">CMS continued to pay claims for off-label uses of the drugs even after Brown filed her </w:t>
      </w:r>
      <w:r w:rsidR="00DF7FCB" w:rsidRPr="00DF7FCB">
        <w:rPr>
          <w:rFonts w:ascii="Times New Roman" w:hAnsi="Times New Roman" w:cs="Times New Roman"/>
          <w:i/>
          <w:sz w:val="24"/>
          <w:szCs w:val="24"/>
        </w:rPr>
        <w:t>qui tam</w:t>
      </w:r>
      <w:r w:rsidR="00DF7FCB">
        <w:rPr>
          <w:rFonts w:ascii="Times New Roman" w:hAnsi="Times New Roman" w:cs="Times New Roman"/>
          <w:sz w:val="24"/>
          <w:szCs w:val="24"/>
        </w:rPr>
        <w:t xml:space="preserve"> case in 2010.  </w:t>
      </w:r>
      <w:r w:rsidR="00DF7FCB" w:rsidRPr="00DF7FCB">
        <w:rPr>
          <w:rFonts w:ascii="Times New Roman" w:hAnsi="Times New Roman" w:cs="Times New Roman"/>
          <w:i/>
          <w:sz w:val="24"/>
          <w:szCs w:val="24"/>
        </w:rPr>
        <w:t>Id</w:t>
      </w:r>
      <w:r w:rsidR="00DF7FCB">
        <w:rPr>
          <w:rFonts w:ascii="Times New Roman" w:hAnsi="Times New Roman" w:cs="Times New Roman"/>
          <w:sz w:val="24"/>
          <w:szCs w:val="24"/>
        </w:rPr>
        <w:t xml:space="preserve">.  </w:t>
      </w:r>
      <w:r w:rsidR="006B3128">
        <w:rPr>
          <w:rFonts w:ascii="Times New Roman" w:hAnsi="Times New Roman" w:cs="Times New Roman"/>
          <w:sz w:val="24"/>
          <w:szCs w:val="24"/>
        </w:rPr>
        <w:t xml:space="preserve">Also </w:t>
      </w:r>
      <w:r w:rsidR="00DF7FCB">
        <w:rPr>
          <w:rFonts w:ascii="Times New Roman" w:hAnsi="Times New Roman" w:cs="Times New Roman"/>
          <w:sz w:val="24"/>
          <w:szCs w:val="24"/>
        </w:rPr>
        <w:t>rejected th</w:t>
      </w:r>
      <w:r w:rsidR="006B3128">
        <w:rPr>
          <w:rFonts w:ascii="Times New Roman" w:hAnsi="Times New Roman" w:cs="Times New Roman"/>
          <w:sz w:val="24"/>
          <w:szCs w:val="24"/>
        </w:rPr>
        <w:t>is</w:t>
      </w:r>
      <w:r w:rsidR="00DF7FCB">
        <w:rPr>
          <w:rFonts w:ascii="Times New Roman" w:hAnsi="Times New Roman" w:cs="Times New Roman"/>
          <w:sz w:val="24"/>
          <w:szCs w:val="24"/>
        </w:rPr>
        <w:t xml:space="preserve"> argument, </w:t>
      </w:r>
      <w:r w:rsidR="006B3128">
        <w:rPr>
          <w:rFonts w:ascii="Times New Roman" w:hAnsi="Times New Roman" w:cs="Times New Roman"/>
          <w:sz w:val="24"/>
          <w:szCs w:val="24"/>
        </w:rPr>
        <w:t>the court held</w:t>
      </w:r>
      <w:r w:rsidR="00DF7FCB">
        <w:rPr>
          <w:rFonts w:ascii="Times New Roman" w:hAnsi="Times New Roman" w:cs="Times New Roman"/>
          <w:sz w:val="24"/>
          <w:szCs w:val="24"/>
        </w:rPr>
        <w:t xml:space="preserve">: “Even if CMS knew after 2010 that incoming claims for Thalomid </w:t>
      </w:r>
      <w:r w:rsidR="00DF7FCB" w:rsidRPr="00DF7FCB">
        <w:rPr>
          <w:rFonts w:ascii="Times New Roman" w:hAnsi="Times New Roman" w:cs="Times New Roman"/>
          <w:color w:val="000000"/>
          <w:sz w:val="24"/>
          <w:szCs w:val="24"/>
        </w:rPr>
        <w:t>and Revlimid included claims that failed to meet the medical acceptance requirement, it does not follow that CMS had actual knowledge that particular claims were non-compliant and reimbursed them anyway</w:t>
      </w:r>
      <w:r w:rsidR="00DF7FCB">
        <w:rPr>
          <w:rFonts w:ascii="Times New Roman" w:hAnsi="Times New Roman" w:cs="Times New Roman"/>
          <w:color w:val="000000"/>
          <w:sz w:val="24"/>
          <w:szCs w:val="24"/>
        </w:rPr>
        <w:t xml:space="preserve">.  This evidence does not establish non-materiality as a matter of law.”  </w:t>
      </w:r>
      <w:r w:rsidR="006B3128" w:rsidRPr="006B3128">
        <w:rPr>
          <w:rFonts w:ascii="Times New Roman" w:hAnsi="Times New Roman" w:cs="Times New Roman"/>
          <w:i/>
          <w:color w:val="000000"/>
          <w:sz w:val="24"/>
          <w:szCs w:val="24"/>
        </w:rPr>
        <w:t>Id</w:t>
      </w:r>
      <w:r w:rsidR="006B3128">
        <w:rPr>
          <w:rFonts w:ascii="Times New Roman" w:hAnsi="Times New Roman" w:cs="Times New Roman"/>
          <w:color w:val="000000"/>
          <w:sz w:val="24"/>
          <w:szCs w:val="24"/>
        </w:rPr>
        <w:t xml:space="preserve">. at 1050-51.  </w:t>
      </w:r>
      <w:r w:rsidR="00DF7FCB">
        <w:rPr>
          <w:rFonts w:ascii="Times New Roman" w:hAnsi="Times New Roman" w:cs="Times New Roman"/>
          <w:color w:val="000000"/>
          <w:sz w:val="24"/>
          <w:szCs w:val="24"/>
        </w:rPr>
        <w:t>The court concluded</w:t>
      </w:r>
      <w:r w:rsidR="006B3128">
        <w:rPr>
          <w:rFonts w:ascii="Times New Roman" w:hAnsi="Times New Roman" w:cs="Times New Roman"/>
          <w:color w:val="000000"/>
          <w:sz w:val="24"/>
          <w:szCs w:val="24"/>
        </w:rPr>
        <w:t xml:space="preserve">, “Celgene </w:t>
      </w:r>
      <w:r w:rsidR="006B3128" w:rsidRPr="006B3128">
        <w:rPr>
          <w:rFonts w:ascii="Times New Roman" w:hAnsi="Times New Roman" w:cs="Times New Roman"/>
          <w:color w:val="000000"/>
          <w:sz w:val="24"/>
          <w:szCs w:val="24"/>
        </w:rPr>
        <w:t>has not shown that it is entitled to summary judgment on materiality grounds</w:t>
      </w:r>
      <w:r w:rsidR="006B3128">
        <w:rPr>
          <w:rFonts w:ascii="Times New Roman" w:hAnsi="Times New Roman" w:cs="Times New Roman"/>
          <w:color w:val="000000"/>
          <w:sz w:val="24"/>
          <w:szCs w:val="24"/>
        </w:rPr>
        <w:t xml:space="preserve">.”  </w:t>
      </w:r>
      <w:r w:rsidR="006B3128" w:rsidRPr="006B3128">
        <w:rPr>
          <w:rFonts w:ascii="Times New Roman" w:hAnsi="Times New Roman" w:cs="Times New Roman"/>
          <w:i/>
          <w:color w:val="000000"/>
          <w:sz w:val="24"/>
          <w:szCs w:val="24"/>
        </w:rPr>
        <w:t>Id</w:t>
      </w:r>
      <w:r w:rsidR="006B3128">
        <w:rPr>
          <w:rFonts w:ascii="Times New Roman" w:hAnsi="Times New Roman" w:cs="Times New Roman"/>
          <w:color w:val="000000"/>
          <w:sz w:val="24"/>
          <w:szCs w:val="24"/>
        </w:rPr>
        <w:t>. at 1051.</w:t>
      </w:r>
    </w:p>
    <w:p w:rsidR="0038189C" w:rsidRPr="00514ED9" w:rsidRDefault="0038189C" w:rsidP="00514ED9">
      <w:pPr>
        <w:pStyle w:val="Heading1"/>
        <w:spacing w:line="480" w:lineRule="auto"/>
        <w:jc w:val="center"/>
        <w:rPr>
          <w:rFonts w:ascii="Times New Roman" w:hAnsi="Times New Roman" w:cs="Times New Roman"/>
          <w:b/>
          <w:i/>
          <w:color w:val="auto"/>
          <w:sz w:val="24"/>
          <w:szCs w:val="24"/>
          <w:u w:val="single"/>
        </w:rPr>
      </w:pPr>
      <w:r w:rsidRPr="00514ED9">
        <w:rPr>
          <w:rFonts w:ascii="Times New Roman" w:hAnsi="Times New Roman" w:cs="Times New Roman"/>
          <w:b/>
          <w:i/>
          <w:color w:val="auto"/>
          <w:sz w:val="24"/>
          <w:szCs w:val="24"/>
          <w:u w:val="single"/>
        </w:rPr>
        <w:t>Conclusion</w:t>
      </w:r>
    </w:p>
    <w:p w:rsidR="00D8477E" w:rsidRDefault="0038189C" w:rsidP="0038189C">
      <w:pPr>
        <w:spacing w:line="480" w:lineRule="auto"/>
        <w:rPr>
          <w:rFonts w:ascii="Times New Roman" w:hAnsi="Times New Roman" w:cs="Times New Roman"/>
          <w:sz w:val="24"/>
          <w:szCs w:val="24"/>
        </w:rPr>
      </w:pPr>
      <w:r>
        <w:rPr>
          <w:rFonts w:ascii="Times New Roman" w:hAnsi="Times New Roman" w:cs="Times New Roman"/>
          <w:sz w:val="24"/>
          <w:szCs w:val="24"/>
        </w:rPr>
        <w:tab/>
      </w:r>
      <w:r w:rsidR="002800E6">
        <w:rPr>
          <w:rFonts w:ascii="Times New Roman" w:hAnsi="Times New Roman" w:cs="Times New Roman"/>
          <w:sz w:val="24"/>
          <w:szCs w:val="24"/>
        </w:rPr>
        <w:t xml:space="preserve">Each of the four cases discussed herein involve somewhat different fact patterns.  In </w:t>
      </w:r>
      <w:r w:rsidR="002800E6" w:rsidRPr="002800E6">
        <w:rPr>
          <w:rFonts w:ascii="Times New Roman" w:hAnsi="Times New Roman" w:cs="Times New Roman"/>
          <w:i/>
          <w:sz w:val="24"/>
          <w:szCs w:val="24"/>
        </w:rPr>
        <w:t>D’Agostino</w:t>
      </w:r>
      <w:r w:rsidR="002800E6">
        <w:rPr>
          <w:rFonts w:ascii="Times New Roman" w:hAnsi="Times New Roman" w:cs="Times New Roman"/>
          <w:sz w:val="24"/>
          <w:szCs w:val="24"/>
        </w:rPr>
        <w:t xml:space="preserve">, the court of appeals affirmed the dismissal of the relator’s off-label claims on the grounds that the relator had not sufficiently alleged an off-label use of the products: although the relator alleged that the </w:t>
      </w:r>
      <w:r w:rsidR="002800E6" w:rsidRPr="002800E6">
        <w:rPr>
          <w:rFonts w:ascii="Times New Roman" w:hAnsi="Times New Roman" w:cs="Times New Roman"/>
          <w:sz w:val="24"/>
          <w:szCs w:val="24"/>
          <w:u w:val="single"/>
        </w:rPr>
        <w:t>defendan</w:t>
      </w:r>
      <w:r w:rsidR="002800E6">
        <w:rPr>
          <w:rFonts w:ascii="Times New Roman" w:hAnsi="Times New Roman" w:cs="Times New Roman"/>
          <w:sz w:val="24"/>
          <w:szCs w:val="24"/>
          <w:u w:val="single"/>
        </w:rPr>
        <w:t>ts</w:t>
      </w:r>
      <w:r w:rsidR="002800E6">
        <w:rPr>
          <w:rFonts w:ascii="Times New Roman" w:hAnsi="Times New Roman" w:cs="Times New Roman"/>
          <w:sz w:val="24"/>
          <w:szCs w:val="24"/>
        </w:rPr>
        <w:t xml:space="preserve"> failed to train physicians in accordance with the labelling requirement, the label did not strictly require that the defendants personally perform such training.   In </w:t>
      </w:r>
      <w:r w:rsidR="002800E6" w:rsidRPr="002800E6">
        <w:rPr>
          <w:rFonts w:ascii="Times New Roman" w:hAnsi="Times New Roman" w:cs="Times New Roman"/>
          <w:i/>
          <w:sz w:val="24"/>
          <w:szCs w:val="24"/>
        </w:rPr>
        <w:t>Campie</w:t>
      </w:r>
      <w:r w:rsidR="002800E6">
        <w:rPr>
          <w:rFonts w:ascii="Times New Roman" w:hAnsi="Times New Roman" w:cs="Times New Roman"/>
          <w:sz w:val="24"/>
          <w:szCs w:val="24"/>
        </w:rPr>
        <w:t xml:space="preserve">, the relator’s claim was not that </w:t>
      </w:r>
      <w:r w:rsidR="00D8477E">
        <w:rPr>
          <w:rFonts w:ascii="Times New Roman" w:hAnsi="Times New Roman" w:cs="Times New Roman"/>
          <w:sz w:val="24"/>
          <w:szCs w:val="24"/>
        </w:rPr>
        <w:t xml:space="preserve">the defendant was promoting an approved drug for off-label uses, but rather, that the defendant was producing and distributing adulterated products, </w:t>
      </w:r>
      <w:r w:rsidR="00D8477E" w:rsidRPr="00D8477E">
        <w:rPr>
          <w:rFonts w:ascii="Times New Roman" w:hAnsi="Times New Roman" w:cs="Times New Roman"/>
          <w:i/>
          <w:sz w:val="24"/>
          <w:szCs w:val="24"/>
        </w:rPr>
        <w:t>i.e.</w:t>
      </w:r>
      <w:r w:rsidR="00D8477E">
        <w:rPr>
          <w:rFonts w:ascii="Times New Roman" w:hAnsi="Times New Roman" w:cs="Times New Roman"/>
          <w:sz w:val="24"/>
          <w:szCs w:val="24"/>
        </w:rPr>
        <w:t xml:space="preserve">, products that were not the same as what FDA had approved. </w:t>
      </w:r>
    </w:p>
    <w:p w:rsidR="00AE521F" w:rsidRDefault="00D8477E" w:rsidP="00AE52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cases that bear the closest resemblance to each other were </w:t>
      </w:r>
      <w:r w:rsidRPr="00D8477E">
        <w:rPr>
          <w:rFonts w:ascii="Times New Roman" w:hAnsi="Times New Roman" w:cs="Times New Roman"/>
          <w:i/>
          <w:sz w:val="24"/>
          <w:szCs w:val="24"/>
        </w:rPr>
        <w:t>King</w:t>
      </w:r>
      <w:r>
        <w:rPr>
          <w:rFonts w:ascii="Times New Roman" w:hAnsi="Times New Roman" w:cs="Times New Roman"/>
          <w:sz w:val="24"/>
          <w:szCs w:val="24"/>
        </w:rPr>
        <w:t xml:space="preserve"> and </w:t>
      </w:r>
      <w:r w:rsidRPr="00D8477E">
        <w:rPr>
          <w:rFonts w:ascii="Times New Roman" w:hAnsi="Times New Roman" w:cs="Times New Roman"/>
          <w:i/>
          <w:sz w:val="24"/>
          <w:szCs w:val="24"/>
        </w:rPr>
        <w:t>Brown</w:t>
      </w:r>
      <w:r>
        <w:rPr>
          <w:rFonts w:ascii="Times New Roman" w:hAnsi="Times New Roman" w:cs="Times New Roman"/>
          <w:sz w:val="24"/>
          <w:szCs w:val="24"/>
        </w:rPr>
        <w:t>, insofar as both cases involved well-pleaded allegations that the defendants were promoting drugs for off-label use, but the question was whether the relators could also adequately plead that the defendants were submitting or causing the submission of false claims for reimbursement.  The different outcomes in the two cases could be</w:t>
      </w:r>
      <w:r w:rsidR="002800E6">
        <w:rPr>
          <w:rFonts w:ascii="Times New Roman" w:hAnsi="Times New Roman" w:cs="Times New Roman"/>
          <w:sz w:val="24"/>
          <w:szCs w:val="24"/>
        </w:rPr>
        <w:t xml:space="preserve"> </w:t>
      </w:r>
      <w:r>
        <w:rPr>
          <w:rFonts w:ascii="Times New Roman" w:hAnsi="Times New Roman" w:cs="Times New Roman"/>
          <w:sz w:val="24"/>
          <w:szCs w:val="24"/>
        </w:rPr>
        <w:t xml:space="preserve">explained by the difference in the strength of the evidence supporting a causal connection between the defendants’ off-label marketing activities and the doctors’ prescribing decisions.  </w:t>
      </w:r>
      <w:r w:rsidR="002800E6">
        <w:rPr>
          <w:rFonts w:ascii="Times New Roman" w:hAnsi="Times New Roman" w:cs="Times New Roman"/>
          <w:sz w:val="24"/>
          <w:szCs w:val="24"/>
        </w:rPr>
        <w:t xml:space="preserve">In </w:t>
      </w:r>
      <w:r w:rsidR="002800E6" w:rsidRPr="00AE521F">
        <w:rPr>
          <w:rFonts w:ascii="Times New Roman" w:hAnsi="Times New Roman" w:cs="Times New Roman"/>
          <w:i/>
          <w:sz w:val="24"/>
          <w:szCs w:val="24"/>
        </w:rPr>
        <w:t>King</w:t>
      </w:r>
      <w:r w:rsidR="002800E6">
        <w:rPr>
          <w:rFonts w:ascii="Times New Roman" w:hAnsi="Times New Roman" w:cs="Times New Roman"/>
          <w:sz w:val="24"/>
          <w:szCs w:val="24"/>
        </w:rPr>
        <w:t xml:space="preserve">, </w:t>
      </w:r>
      <w:r>
        <w:rPr>
          <w:rFonts w:ascii="Times New Roman" w:hAnsi="Times New Roman" w:cs="Times New Roman"/>
          <w:sz w:val="24"/>
          <w:szCs w:val="24"/>
        </w:rPr>
        <w:t xml:space="preserve">the relator came forward with only tenuous evidence of such a connection – namely, evidence of off-label marketing activities, an expert report describing the general connection between marketing efforts and prescription patterns, and a few examples of off-label prescriptions within a limited geographic territory.  </w:t>
      </w:r>
      <w:r w:rsidR="00D75A6B">
        <w:rPr>
          <w:rFonts w:ascii="Times New Roman" w:hAnsi="Times New Roman" w:cs="Times New Roman"/>
          <w:sz w:val="24"/>
          <w:szCs w:val="24"/>
        </w:rPr>
        <w:t xml:space="preserve">Conversely, </w:t>
      </w:r>
      <w:r w:rsidR="00AE521F">
        <w:rPr>
          <w:rFonts w:ascii="Times New Roman" w:hAnsi="Times New Roman" w:cs="Times New Roman"/>
          <w:sz w:val="24"/>
          <w:szCs w:val="24"/>
        </w:rPr>
        <w:t xml:space="preserve">in </w:t>
      </w:r>
      <w:r w:rsidR="00D75A6B">
        <w:rPr>
          <w:rFonts w:ascii="Times New Roman" w:hAnsi="Times New Roman" w:cs="Times New Roman"/>
          <w:i/>
          <w:sz w:val="24"/>
          <w:szCs w:val="24"/>
        </w:rPr>
        <w:t>Brown</w:t>
      </w:r>
      <w:r w:rsidR="00AE521F">
        <w:rPr>
          <w:rFonts w:ascii="Times New Roman" w:hAnsi="Times New Roman" w:cs="Times New Roman"/>
          <w:sz w:val="24"/>
          <w:szCs w:val="24"/>
        </w:rPr>
        <w:t xml:space="preserve">, the relator was able to </w:t>
      </w:r>
      <w:r w:rsidR="00D75A6B">
        <w:rPr>
          <w:rFonts w:ascii="Times New Roman" w:hAnsi="Times New Roman" w:cs="Times New Roman"/>
          <w:sz w:val="24"/>
          <w:szCs w:val="24"/>
        </w:rPr>
        <w:t xml:space="preserve">provide extensive research, specific data, and personal experience </w:t>
      </w:r>
      <w:r w:rsidR="00AE521F">
        <w:rPr>
          <w:rFonts w:ascii="Times New Roman" w:hAnsi="Times New Roman" w:cs="Times New Roman"/>
          <w:sz w:val="24"/>
          <w:szCs w:val="24"/>
        </w:rPr>
        <w:t xml:space="preserve">demonstrating that </w:t>
      </w:r>
      <w:r w:rsidR="00D75A6B">
        <w:rPr>
          <w:rFonts w:ascii="Times New Roman" w:hAnsi="Times New Roman" w:cs="Times New Roman"/>
          <w:sz w:val="24"/>
          <w:szCs w:val="24"/>
        </w:rPr>
        <w:t>Celgene</w:t>
      </w:r>
      <w:r w:rsidR="00AE521F">
        <w:rPr>
          <w:rFonts w:ascii="Times New Roman" w:hAnsi="Times New Roman" w:cs="Times New Roman"/>
          <w:sz w:val="24"/>
          <w:szCs w:val="24"/>
        </w:rPr>
        <w:t>’s marketing efforts centered on promoting the off-label use of its products, and that Celgene had been wildly successful in promoting massive off-label use</w:t>
      </w:r>
      <w:r w:rsidR="00514ED9">
        <w:rPr>
          <w:rFonts w:ascii="Times New Roman" w:hAnsi="Times New Roman" w:cs="Times New Roman"/>
          <w:sz w:val="24"/>
          <w:szCs w:val="24"/>
        </w:rPr>
        <w:t>.</w:t>
      </w:r>
    </w:p>
    <w:p w:rsidR="00514ED9" w:rsidRPr="00514ED9" w:rsidRDefault="00091715" w:rsidP="003818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14ED9" w:rsidRPr="00514E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D5" w:rsidRDefault="00EA2BD5" w:rsidP="00387640">
      <w:r>
        <w:separator/>
      </w:r>
    </w:p>
  </w:endnote>
  <w:endnote w:type="continuationSeparator" w:id="0">
    <w:p w:rsidR="00EA2BD5" w:rsidRDefault="00EA2BD5" w:rsidP="0038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169916"/>
      <w:docPartObj>
        <w:docPartGallery w:val="Page Numbers (Bottom of Page)"/>
        <w:docPartUnique/>
      </w:docPartObj>
    </w:sdtPr>
    <w:sdtEndPr>
      <w:rPr>
        <w:noProof/>
      </w:rPr>
    </w:sdtEndPr>
    <w:sdtContent>
      <w:p w:rsidR="00D8477E" w:rsidRDefault="00D8477E">
        <w:pPr>
          <w:pStyle w:val="Footer"/>
          <w:jc w:val="center"/>
        </w:pPr>
        <w:r>
          <w:fldChar w:fldCharType="begin"/>
        </w:r>
        <w:r>
          <w:instrText xml:space="preserve"> PAGE   \* MERGEFORMAT </w:instrText>
        </w:r>
        <w:r>
          <w:fldChar w:fldCharType="separate"/>
        </w:r>
        <w:r w:rsidR="00984755">
          <w:rPr>
            <w:noProof/>
          </w:rPr>
          <w:t>6</w:t>
        </w:r>
        <w:r>
          <w:rPr>
            <w:noProof/>
          </w:rPr>
          <w:fldChar w:fldCharType="end"/>
        </w:r>
      </w:p>
    </w:sdtContent>
  </w:sdt>
  <w:p w:rsidR="00D8477E" w:rsidRDefault="00D8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D5" w:rsidRDefault="00EA2BD5" w:rsidP="00387640">
      <w:r>
        <w:separator/>
      </w:r>
    </w:p>
  </w:footnote>
  <w:footnote w:type="continuationSeparator" w:id="0">
    <w:p w:rsidR="00EA2BD5" w:rsidRDefault="00EA2BD5" w:rsidP="00387640">
      <w:r>
        <w:continuationSeparator/>
      </w:r>
    </w:p>
  </w:footnote>
  <w:footnote w:id="1">
    <w:p w:rsidR="00D8477E" w:rsidRPr="000031CE" w:rsidRDefault="00D8477E">
      <w:pPr>
        <w:pStyle w:val="FootnoteText"/>
        <w:rPr>
          <w:rFonts w:ascii="Times New Roman" w:hAnsi="Times New Roman" w:cs="Times New Roman"/>
        </w:rPr>
      </w:pPr>
      <w:r w:rsidRPr="000031CE">
        <w:rPr>
          <w:rStyle w:val="FootnoteReference"/>
          <w:rFonts w:ascii="Times New Roman" w:hAnsi="Times New Roman" w:cs="Times New Roman"/>
        </w:rPr>
        <w:footnoteRef/>
      </w:r>
      <w:r w:rsidRPr="000031CE">
        <w:rPr>
          <w:rFonts w:ascii="Times New Roman" w:hAnsi="Times New Roman" w:cs="Times New Roman"/>
        </w:rPr>
        <w:t xml:space="preserve"> https://www.fda.gov/ForPatients/Other/OffLabel/ucm20041767.htm</w:t>
      </w:r>
    </w:p>
  </w:footnote>
  <w:footnote w:id="2">
    <w:p w:rsidR="00D8477E" w:rsidRPr="000031CE" w:rsidRDefault="00D8477E">
      <w:pPr>
        <w:pStyle w:val="FootnoteText"/>
        <w:rPr>
          <w:rFonts w:ascii="Times New Roman" w:hAnsi="Times New Roman" w:cs="Times New Roman"/>
        </w:rPr>
      </w:pPr>
      <w:r w:rsidRPr="000031CE">
        <w:rPr>
          <w:rStyle w:val="FootnoteReference"/>
          <w:rFonts w:ascii="Times New Roman" w:hAnsi="Times New Roman" w:cs="Times New Roman"/>
        </w:rPr>
        <w:footnoteRef/>
      </w:r>
      <w:r w:rsidRPr="000031CE">
        <w:rPr>
          <w:rFonts w:ascii="Times New Roman" w:hAnsi="Times New Roman" w:cs="Times New Roman"/>
        </w:rPr>
        <w:t xml:space="preserve"> https://www.justice.gov/usao-cdca/pr/celgene-agrees-pay-280-million-resolve-fraud-allegations-related-promotion-cancer-drugs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EA5"/>
    <w:multiLevelType w:val="hybridMultilevel"/>
    <w:tmpl w:val="703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DD6"/>
    <w:multiLevelType w:val="hybridMultilevel"/>
    <w:tmpl w:val="1F4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255"/>
    <w:multiLevelType w:val="hybridMultilevel"/>
    <w:tmpl w:val="58F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0329"/>
    <w:multiLevelType w:val="hybridMultilevel"/>
    <w:tmpl w:val="F7FE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366"/>
    <w:multiLevelType w:val="hybridMultilevel"/>
    <w:tmpl w:val="1CD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818B5"/>
    <w:multiLevelType w:val="hybridMultilevel"/>
    <w:tmpl w:val="F9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56C13"/>
    <w:multiLevelType w:val="hybridMultilevel"/>
    <w:tmpl w:val="DB7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2518C"/>
    <w:multiLevelType w:val="hybridMultilevel"/>
    <w:tmpl w:val="75E6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0"/>
    <w:rsid w:val="000031CE"/>
    <w:rsid w:val="000038A2"/>
    <w:rsid w:val="00010FDC"/>
    <w:rsid w:val="00053350"/>
    <w:rsid w:val="00060411"/>
    <w:rsid w:val="000644D2"/>
    <w:rsid w:val="00067553"/>
    <w:rsid w:val="000777EC"/>
    <w:rsid w:val="00091715"/>
    <w:rsid w:val="000A3F00"/>
    <w:rsid w:val="000A4654"/>
    <w:rsid w:val="000C428F"/>
    <w:rsid w:val="000C4685"/>
    <w:rsid w:val="000C6B77"/>
    <w:rsid w:val="000E68ED"/>
    <w:rsid w:val="00107A44"/>
    <w:rsid w:val="001146E1"/>
    <w:rsid w:val="001712BE"/>
    <w:rsid w:val="001735BF"/>
    <w:rsid w:val="00193094"/>
    <w:rsid w:val="00193FDD"/>
    <w:rsid w:val="001A5764"/>
    <w:rsid w:val="001E7A7D"/>
    <w:rsid w:val="0020160B"/>
    <w:rsid w:val="0021368C"/>
    <w:rsid w:val="00232ACC"/>
    <w:rsid w:val="002514DE"/>
    <w:rsid w:val="002566FB"/>
    <w:rsid w:val="002730AC"/>
    <w:rsid w:val="002800E6"/>
    <w:rsid w:val="002859A2"/>
    <w:rsid w:val="002C0538"/>
    <w:rsid w:val="00307C60"/>
    <w:rsid w:val="0033634E"/>
    <w:rsid w:val="003733CF"/>
    <w:rsid w:val="0038189C"/>
    <w:rsid w:val="00387640"/>
    <w:rsid w:val="00397D78"/>
    <w:rsid w:val="003A39C1"/>
    <w:rsid w:val="003B0969"/>
    <w:rsid w:val="003C0534"/>
    <w:rsid w:val="003C1F7E"/>
    <w:rsid w:val="003C78E8"/>
    <w:rsid w:val="004329EB"/>
    <w:rsid w:val="00434826"/>
    <w:rsid w:val="00434951"/>
    <w:rsid w:val="004349B8"/>
    <w:rsid w:val="00435FC5"/>
    <w:rsid w:val="00440FDB"/>
    <w:rsid w:val="00467845"/>
    <w:rsid w:val="0047614A"/>
    <w:rsid w:val="004A76BC"/>
    <w:rsid w:val="004D6CAD"/>
    <w:rsid w:val="004E2605"/>
    <w:rsid w:val="00500A1A"/>
    <w:rsid w:val="00514ED9"/>
    <w:rsid w:val="005239F8"/>
    <w:rsid w:val="00525641"/>
    <w:rsid w:val="0053727C"/>
    <w:rsid w:val="00560D64"/>
    <w:rsid w:val="0057035A"/>
    <w:rsid w:val="005712E5"/>
    <w:rsid w:val="0057260A"/>
    <w:rsid w:val="00584432"/>
    <w:rsid w:val="00594C9C"/>
    <w:rsid w:val="00595A30"/>
    <w:rsid w:val="005A4DB5"/>
    <w:rsid w:val="005B3160"/>
    <w:rsid w:val="005B520E"/>
    <w:rsid w:val="005C00DF"/>
    <w:rsid w:val="005C433C"/>
    <w:rsid w:val="005C456C"/>
    <w:rsid w:val="0060136D"/>
    <w:rsid w:val="00610629"/>
    <w:rsid w:val="00611AA5"/>
    <w:rsid w:val="00622F5E"/>
    <w:rsid w:val="00622F74"/>
    <w:rsid w:val="00644DB9"/>
    <w:rsid w:val="0068057E"/>
    <w:rsid w:val="00681E99"/>
    <w:rsid w:val="006944CF"/>
    <w:rsid w:val="006A12BD"/>
    <w:rsid w:val="006B0741"/>
    <w:rsid w:val="006B1A1C"/>
    <w:rsid w:val="006B3128"/>
    <w:rsid w:val="006B33B5"/>
    <w:rsid w:val="006B5E50"/>
    <w:rsid w:val="006B632B"/>
    <w:rsid w:val="006B6549"/>
    <w:rsid w:val="006B6958"/>
    <w:rsid w:val="006B74B6"/>
    <w:rsid w:val="00702A93"/>
    <w:rsid w:val="0071775E"/>
    <w:rsid w:val="0075057C"/>
    <w:rsid w:val="007661D4"/>
    <w:rsid w:val="00766D5D"/>
    <w:rsid w:val="00791F60"/>
    <w:rsid w:val="007C416D"/>
    <w:rsid w:val="007C4362"/>
    <w:rsid w:val="007D206C"/>
    <w:rsid w:val="007F0064"/>
    <w:rsid w:val="007F205D"/>
    <w:rsid w:val="00805BB7"/>
    <w:rsid w:val="0080642F"/>
    <w:rsid w:val="008157CF"/>
    <w:rsid w:val="008206A8"/>
    <w:rsid w:val="008445AD"/>
    <w:rsid w:val="0085031A"/>
    <w:rsid w:val="00874605"/>
    <w:rsid w:val="008A314A"/>
    <w:rsid w:val="008B265D"/>
    <w:rsid w:val="008B433D"/>
    <w:rsid w:val="008D488D"/>
    <w:rsid w:val="008E7D11"/>
    <w:rsid w:val="008F6783"/>
    <w:rsid w:val="009004CB"/>
    <w:rsid w:val="00924EC4"/>
    <w:rsid w:val="00933A7B"/>
    <w:rsid w:val="00954D46"/>
    <w:rsid w:val="00963E78"/>
    <w:rsid w:val="00975D8B"/>
    <w:rsid w:val="00984755"/>
    <w:rsid w:val="009A05CF"/>
    <w:rsid w:val="009E0042"/>
    <w:rsid w:val="009F3E7C"/>
    <w:rsid w:val="009F3EB7"/>
    <w:rsid w:val="009F6E23"/>
    <w:rsid w:val="00A2419D"/>
    <w:rsid w:val="00A4542B"/>
    <w:rsid w:val="00A60CFC"/>
    <w:rsid w:val="00A73C98"/>
    <w:rsid w:val="00A87F45"/>
    <w:rsid w:val="00AA0B64"/>
    <w:rsid w:val="00AA5709"/>
    <w:rsid w:val="00AC44E8"/>
    <w:rsid w:val="00AC5A4C"/>
    <w:rsid w:val="00AD5015"/>
    <w:rsid w:val="00AE0BF1"/>
    <w:rsid w:val="00AE521F"/>
    <w:rsid w:val="00B10AC8"/>
    <w:rsid w:val="00B20DF9"/>
    <w:rsid w:val="00B262CC"/>
    <w:rsid w:val="00B350B3"/>
    <w:rsid w:val="00B536A0"/>
    <w:rsid w:val="00BA424E"/>
    <w:rsid w:val="00BC5DF8"/>
    <w:rsid w:val="00BD057A"/>
    <w:rsid w:val="00BD226A"/>
    <w:rsid w:val="00BD7A03"/>
    <w:rsid w:val="00BD7E87"/>
    <w:rsid w:val="00C03F3E"/>
    <w:rsid w:val="00C20E72"/>
    <w:rsid w:val="00C225DB"/>
    <w:rsid w:val="00C232DE"/>
    <w:rsid w:val="00C25458"/>
    <w:rsid w:val="00C72036"/>
    <w:rsid w:val="00C930B5"/>
    <w:rsid w:val="00CC1DDD"/>
    <w:rsid w:val="00CC76A6"/>
    <w:rsid w:val="00CD3DDA"/>
    <w:rsid w:val="00CE0D1F"/>
    <w:rsid w:val="00CE4EE9"/>
    <w:rsid w:val="00CF78A1"/>
    <w:rsid w:val="00D03446"/>
    <w:rsid w:val="00D0571D"/>
    <w:rsid w:val="00D06088"/>
    <w:rsid w:val="00D41384"/>
    <w:rsid w:val="00D43E3A"/>
    <w:rsid w:val="00D4676C"/>
    <w:rsid w:val="00D70A0D"/>
    <w:rsid w:val="00D75A6B"/>
    <w:rsid w:val="00D77938"/>
    <w:rsid w:val="00D8477E"/>
    <w:rsid w:val="00DB493D"/>
    <w:rsid w:val="00DC4D28"/>
    <w:rsid w:val="00DD7EBA"/>
    <w:rsid w:val="00DF7FCB"/>
    <w:rsid w:val="00E0452E"/>
    <w:rsid w:val="00E123BD"/>
    <w:rsid w:val="00E26B47"/>
    <w:rsid w:val="00E30D93"/>
    <w:rsid w:val="00E37F40"/>
    <w:rsid w:val="00E45551"/>
    <w:rsid w:val="00E5503A"/>
    <w:rsid w:val="00E638B2"/>
    <w:rsid w:val="00E71FF5"/>
    <w:rsid w:val="00E83736"/>
    <w:rsid w:val="00E9072B"/>
    <w:rsid w:val="00EA2BD5"/>
    <w:rsid w:val="00EA3197"/>
    <w:rsid w:val="00EA3A32"/>
    <w:rsid w:val="00EB004B"/>
    <w:rsid w:val="00EF1D6C"/>
    <w:rsid w:val="00EF1F27"/>
    <w:rsid w:val="00EF7C79"/>
    <w:rsid w:val="00F02339"/>
    <w:rsid w:val="00F32753"/>
    <w:rsid w:val="00F616D4"/>
    <w:rsid w:val="00F739D9"/>
    <w:rsid w:val="00F82173"/>
    <w:rsid w:val="00FC746E"/>
    <w:rsid w:val="00FE3FA6"/>
    <w:rsid w:val="00FF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0CBC-A259-4F2A-A30F-512DD10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F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566F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C8"/>
    <w:pPr>
      <w:ind w:left="720"/>
      <w:contextualSpacing/>
    </w:pPr>
  </w:style>
  <w:style w:type="character" w:styleId="Hyperlink">
    <w:name w:val="Hyperlink"/>
    <w:basedOn w:val="DefaultParagraphFont"/>
    <w:uiPriority w:val="99"/>
    <w:unhideWhenUsed/>
    <w:rsid w:val="0057260A"/>
    <w:rPr>
      <w:color w:val="0000FF"/>
      <w:u w:val="single"/>
    </w:rPr>
  </w:style>
  <w:style w:type="character" w:styleId="Emphasis">
    <w:name w:val="Emphasis"/>
    <w:basedOn w:val="DefaultParagraphFont"/>
    <w:uiPriority w:val="20"/>
    <w:qFormat/>
    <w:rsid w:val="0057260A"/>
    <w:rPr>
      <w:i/>
      <w:iCs/>
    </w:rPr>
  </w:style>
  <w:style w:type="character" w:customStyle="1" w:styleId="costarpage">
    <w:name w:val="co_starpage"/>
    <w:basedOn w:val="DefaultParagraphFont"/>
    <w:rsid w:val="00A73C98"/>
  </w:style>
  <w:style w:type="character" w:customStyle="1" w:styleId="cosmallcaps">
    <w:name w:val="co_smallcaps"/>
    <w:basedOn w:val="DefaultParagraphFont"/>
    <w:rsid w:val="00A73C98"/>
  </w:style>
  <w:style w:type="character" w:customStyle="1" w:styleId="counderline">
    <w:name w:val="co_underline"/>
    <w:basedOn w:val="DefaultParagraphFont"/>
    <w:rsid w:val="005C00DF"/>
  </w:style>
  <w:style w:type="paragraph" w:styleId="FootnoteText">
    <w:name w:val="footnote text"/>
    <w:basedOn w:val="Normal"/>
    <w:link w:val="FootnoteTextChar"/>
    <w:uiPriority w:val="99"/>
    <w:semiHidden/>
    <w:unhideWhenUsed/>
    <w:rsid w:val="00387640"/>
    <w:rPr>
      <w:sz w:val="20"/>
      <w:szCs w:val="20"/>
    </w:rPr>
  </w:style>
  <w:style w:type="character" w:customStyle="1" w:styleId="FootnoteTextChar">
    <w:name w:val="Footnote Text Char"/>
    <w:basedOn w:val="DefaultParagraphFont"/>
    <w:link w:val="FootnoteText"/>
    <w:uiPriority w:val="99"/>
    <w:semiHidden/>
    <w:rsid w:val="00387640"/>
    <w:rPr>
      <w:sz w:val="20"/>
      <w:szCs w:val="20"/>
    </w:rPr>
  </w:style>
  <w:style w:type="character" w:styleId="FootnoteReference">
    <w:name w:val="footnote reference"/>
    <w:basedOn w:val="DefaultParagraphFont"/>
    <w:uiPriority w:val="99"/>
    <w:semiHidden/>
    <w:unhideWhenUsed/>
    <w:rsid w:val="00387640"/>
    <w:rPr>
      <w:vertAlign w:val="superscript"/>
    </w:rPr>
  </w:style>
  <w:style w:type="character" w:styleId="FollowedHyperlink">
    <w:name w:val="FollowedHyperlink"/>
    <w:basedOn w:val="DefaultParagraphFont"/>
    <w:uiPriority w:val="99"/>
    <w:semiHidden/>
    <w:unhideWhenUsed/>
    <w:rsid w:val="00D41384"/>
    <w:rPr>
      <w:color w:val="954F72" w:themeColor="followedHyperlink"/>
      <w:u w:val="single"/>
    </w:rPr>
  </w:style>
  <w:style w:type="paragraph" w:styleId="BalloonText">
    <w:name w:val="Balloon Text"/>
    <w:basedOn w:val="Normal"/>
    <w:link w:val="BalloonTextChar"/>
    <w:uiPriority w:val="99"/>
    <w:semiHidden/>
    <w:unhideWhenUsed/>
    <w:rsid w:val="007F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5D"/>
    <w:rPr>
      <w:rFonts w:ascii="Segoe UI" w:hAnsi="Segoe UI" w:cs="Segoe UI"/>
      <w:sz w:val="18"/>
      <w:szCs w:val="18"/>
    </w:rPr>
  </w:style>
  <w:style w:type="character" w:customStyle="1" w:styleId="Heading1Char">
    <w:name w:val="Heading 1 Char"/>
    <w:basedOn w:val="DefaultParagraphFont"/>
    <w:link w:val="Heading1"/>
    <w:uiPriority w:val="9"/>
    <w:rsid w:val="00435FC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452E"/>
    <w:pPr>
      <w:tabs>
        <w:tab w:val="center" w:pos="4680"/>
        <w:tab w:val="right" w:pos="9360"/>
      </w:tabs>
    </w:pPr>
  </w:style>
  <w:style w:type="character" w:customStyle="1" w:styleId="HeaderChar">
    <w:name w:val="Header Char"/>
    <w:basedOn w:val="DefaultParagraphFont"/>
    <w:link w:val="Header"/>
    <w:uiPriority w:val="99"/>
    <w:rsid w:val="00E0452E"/>
  </w:style>
  <w:style w:type="paragraph" w:styleId="Footer">
    <w:name w:val="footer"/>
    <w:basedOn w:val="Normal"/>
    <w:link w:val="FooterChar"/>
    <w:uiPriority w:val="99"/>
    <w:unhideWhenUsed/>
    <w:rsid w:val="00E0452E"/>
    <w:pPr>
      <w:tabs>
        <w:tab w:val="center" w:pos="4680"/>
        <w:tab w:val="right" w:pos="9360"/>
      </w:tabs>
    </w:pPr>
  </w:style>
  <w:style w:type="character" w:customStyle="1" w:styleId="FooterChar">
    <w:name w:val="Footer Char"/>
    <w:basedOn w:val="DefaultParagraphFont"/>
    <w:link w:val="Footer"/>
    <w:uiPriority w:val="99"/>
    <w:rsid w:val="00E0452E"/>
  </w:style>
  <w:style w:type="character" w:customStyle="1" w:styleId="Heading3Char">
    <w:name w:val="Heading 3 Char"/>
    <w:basedOn w:val="DefaultParagraphFont"/>
    <w:link w:val="Heading3"/>
    <w:uiPriority w:val="9"/>
    <w:semiHidden/>
    <w:rsid w:val="002566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058">
      <w:bodyDiv w:val="1"/>
      <w:marLeft w:val="0"/>
      <w:marRight w:val="0"/>
      <w:marTop w:val="0"/>
      <w:marBottom w:val="0"/>
      <w:divBdr>
        <w:top w:val="none" w:sz="0" w:space="0" w:color="auto"/>
        <w:left w:val="none" w:sz="0" w:space="0" w:color="auto"/>
        <w:bottom w:val="none" w:sz="0" w:space="0" w:color="auto"/>
        <w:right w:val="none" w:sz="0" w:space="0" w:color="auto"/>
      </w:divBdr>
    </w:div>
    <w:div w:id="354889209">
      <w:bodyDiv w:val="1"/>
      <w:marLeft w:val="0"/>
      <w:marRight w:val="0"/>
      <w:marTop w:val="0"/>
      <w:marBottom w:val="0"/>
      <w:divBdr>
        <w:top w:val="none" w:sz="0" w:space="0" w:color="auto"/>
        <w:left w:val="none" w:sz="0" w:space="0" w:color="auto"/>
        <w:bottom w:val="none" w:sz="0" w:space="0" w:color="auto"/>
        <w:right w:val="none" w:sz="0" w:space="0" w:color="auto"/>
      </w:divBdr>
      <w:divsChild>
        <w:div w:id="379399165">
          <w:marLeft w:val="0"/>
          <w:marRight w:val="0"/>
          <w:marTop w:val="240"/>
          <w:marBottom w:val="0"/>
          <w:divBdr>
            <w:top w:val="none" w:sz="0" w:space="0" w:color="auto"/>
            <w:left w:val="none" w:sz="0" w:space="0" w:color="auto"/>
            <w:bottom w:val="none" w:sz="0" w:space="0" w:color="auto"/>
            <w:right w:val="none" w:sz="0" w:space="0" w:color="auto"/>
          </w:divBdr>
          <w:divsChild>
            <w:div w:id="1283686162">
              <w:marLeft w:val="0"/>
              <w:marRight w:val="0"/>
              <w:marTop w:val="0"/>
              <w:marBottom w:val="0"/>
              <w:divBdr>
                <w:top w:val="none" w:sz="0" w:space="0" w:color="auto"/>
                <w:left w:val="none" w:sz="0" w:space="0" w:color="auto"/>
                <w:bottom w:val="none" w:sz="0" w:space="0" w:color="auto"/>
                <w:right w:val="none" w:sz="0" w:space="0" w:color="auto"/>
              </w:divBdr>
              <w:divsChild>
                <w:div w:id="50924950">
                  <w:marLeft w:val="0"/>
                  <w:marRight w:val="0"/>
                  <w:marTop w:val="0"/>
                  <w:marBottom w:val="0"/>
                  <w:divBdr>
                    <w:top w:val="none" w:sz="0" w:space="0" w:color="auto"/>
                    <w:left w:val="none" w:sz="0" w:space="0" w:color="auto"/>
                    <w:bottom w:val="none" w:sz="0" w:space="0" w:color="auto"/>
                    <w:right w:val="none" w:sz="0" w:space="0" w:color="auto"/>
                  </w:divBdr>
                  <w:divsChild>
                    <w:div w:id="9312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1142">
          <w:marLeft w:val="0"/>
          <w:marRight w:val="0"/>
          <w:marTop w:val="240"/>
          <w:marBottom w:val="240"/>
          <w:divBdr>
            <w:top w:val="none" w:sz="0" w:space="0" w:color="auto"/>
            <w:left w:val="none" w:sz="0" w:space="0" w:color="auto"/>
            <w:bottom w:val="none" w:sz="0" w:space="0" w:color="auto"/>
            <w:right w:val="none" w:sz="0" w:space="0" w:color="auto"/>
          </w:divBdr>
        </w:div>
      </w:divsChild>
    </w:div>
    <w:div w:id="1024750544">
      <w:bodyDiv w:val="1"/>
      <w:marLeft w:val="0"/>
      <w:marRight w:val="0"/>
      <w:marTop w:val="0"/>
      <w:marBottom w:val="0"/>
      <w:divBdr>
        <w:top w:val="none" w:sz="0" w:space="0" w:color="auto"/>
        <w:left w:val="none" w:sz="0" w:space="0" w:color="auto"/>
        <w:bottom w:val="none" w:sz="0" w:space="0" w:color="auto"/>
        <w:right w:val="none" w:sz="0" w:space="0" w:color="auto"/>
      </w:divBdr>
    </w:div>
    <w:div w:id="1668626981">
      <w:bodyDiv w:val="1"/>
      <w:marLeft w:val="0"/>
      <w:marRight w:val="0"/>
      <w:marTop w:val="0"/>
      <w:marBottom w:val="0"/>
      <w:divBdr>
        <w:top w:val="none" w:sz="0" w:space="0" w:color="auto"/>
        <w:left w:val="none" w:sz="0" w:space="0" w:color="auto"/>
        <w:bottom w:val="none" w:sz="0" w:space="0" w:color="auto"/>
        <w:right w:val="none" w:sz="0" w:space="0" w:color="auto"/>
      </w:divBdr>
      <w:divsChild>
        <w:div w:id="116796335">
          <w:marLeft w:val="0"/>
          <w:marRight w:val="0"/>
          <w:marTop w:val="240"/>
          <w:marBottom w:val="0"/>
          <w:divBdr>
            <w:top w:val="none" w:sz="0" w:space="0" w:color="auto"/>
            <w:left w:val="none" w:sz="0" w:space="0" w:color="auto"/>
            <w:bottom w:val="none" w:sz="0" w:space="0" w:color="auto"/>
            <w:right w:val="none" w:sz="0" w:space="0" w:color="auto"/>
          </w:divBdr>
          <w:divsChild>
            <w:div w:id="1007513070">
              <w:marLeft w:val="0"/>
              <w:marRight w:val="0"/>
              <w:marTop w:val="480"/>
              <w:marBottom w:val="240"/>
              <w:divBdr>
                <w:top w:val="none" w:sz="0" w:space="0" w:color="auto"/>
                <w:left w:val="none" w:sz="0" w:space="0" w:color="auto"/>
                <w:bottom w:val="none" w:sz="0" w:space="0" w:color="auto"/>
                <w:right w:val="none" w:sz="0" w:space="0" w:color="auto"/>
              </w:divBdr>
              <w:divsChild>
                <w:div w:id="60444549">
                  <w:marLeft w:val="0"/>
                  <w:marRight w:val="0"/>
                  <w:marTop w:val="0"/>
                  <w:marBottom w:val="0"/>
                  <w:divBdr>
                    <w:top w:val="none" w:sz="0" w:space="0" w:color="auto"/>
                    <w:left w:val="none" w:sz="0" w:space="0" w:color="auto"/>
                    <w:bottom w:val="none" w:sz="0" w:space="0" w:color="auto"/>
                    <w:right w:val="none" w:sz="0" w:space="0" w:color="auto"/>
                  </w:divBdr>
                  <w:divsChild>
                    <w:div w:id="1162240147">
                      <w:marLeft w:val="0"/>
                      <w:marRight w:val="0"/>
                      <w:marTop w:val="0"/>
                      <w:marBottom w:val="0"/>
                      <w:divBdr>
                        <w:top w:val="none" w:sz="0" w:space="0" w:color="auto"/>
                        <w:left w:val="none" w:sz="0" w:space="0" w:color="auto"/>
                        <w:bottom w:val="none" w:sz="0" w:space="0" w:color="auto"/>
                        <w:right w:val="none" w:sz="0" w:space="0" w:color="auto"/>
                      </w:divBdr>
                    </w:div>
                  </w:divsChild>
                </w:div>
                <w:div w:id="898437196">
                  <w:marLeft w:val="0"/>
                  <w:marRight w:val="0"/>
                  <w:marTop w:val="0"/>
                  <w:marBottom w:val="0"/>
                  <w:divBdr>
                    <w:top w:val="none" w:sz="0" w:space="0" w:color="auto"/>
                    <w:left w:val="none" w:sz="0" w:space="0" w:color="auto"/>
                    <w:bottom w:val="none" w:sz="0" w:space="0" w:color="auto"/>
                    <w:right w:val="none" w:sz="0" w:space="0" w:color="auto"/>
                  </w:divBdr>
                  <w:divsChild>
                    <w:div w:id="713120212">
                      <w:marLeft w:val="0"/>
                      <w:marRight w:val="0"/>
                      <w:marTop w:val="0"/>
                      <w:marBottom w:val="0"/>
                      <w:divBdr>
                        <w:top w:val="none" w:sz="0" w:space="0" w:color="auto"/>
                        <w:left w:val="none" w:sz="0" w:space="0" w:color="auto"/>
                        <w:bottom w:val="none" w:sz="0" w:space="0" w:color="auto"/>
                        <w:right w:val="none" w:sz="0" w:space="0" w:color="auto"/>
                      </w:divBdr>
                    </w:div>
                  </w:divsChild>
                </w:div>
                <w:div w:id="1482307386">
                  <w:marLeft w:val="0"/>
                  <w:marRight w:val="0"/>
                  <w:marTop w:val="0"/>
                  <w:marBottom w:val="0"/>
                  <w:divBdr>
                    <w:top w:val="none" w:sz="0" w:space="0" w:color="auto"/>
                    <w:left w:val="none" w:sz="0" w:space="0" w:color="auto"/>
                    <w:bottom w:val="none" w:sz="0" w:space="0" w:color="auto"/>
                    <w:right w:val="none" w:sz="0" w:space="0" w:color="auto"/>
                  </w:divBdr>
                  <w:divsChild>
                    <w:div w:id="1309090010">
                      <w:marLeft w:val="0"/>
                      <w:marRight w:val="0"/>
                      <w:marTop w:val="0"/>
                      <w:marBottom w:val="0"/>
                      <w:divBdr>
                        <w:top w:val="none" w:sz="0" w:space="0" w:color="auto"/>
                        <w:left w:val="none" w:sz="0" w:space="0" w:color="auto"/>
                        <w:bottom w:val="none" w:sz="0" w:space="0" w:color="auto"/>
                        <w:right w:val="none" w:sz="0" w:space="0" w:color="auto"/>
                      </w:divBdr>
                    </w:div>
                  </w:divsChild>
                </w:div>
                <w:div w:id="1844588405">
                  <w:marLeft w:val="0"/>
                  <w:marRight w:val="0"/>
                  <w:marTop w:val="0"/>
                  <w:marBottom w:val="0"/>
                  <w:divBdr>
                    <w:top w:val="none" w:sz="0" w:space="0" w:color="auto"/>
                    <w:left w:val="none" w:sz="0" w:space="0" w:color="auto"/>
                    <w:bottom w:val="none" w:sz="0" w:space="0" w:color="auto"/>
                    <w:right w:val="none" w:sz="0" w:space="0" w:color="auto"/>
                  </w:divBdr>
                  <w:divsChild>
                    <w:div w:id="12370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5462">
              <w:marLeft w:val="0"/>
              <w:marRight w:val="0"/>
              <w:marTop w:val="0"/>
              <w:marBottom w:val="0"/>
              <w:divBdr>
                <w:top w:val="none" w:sz="0" w:space="0" w:color="auto"/>
                <w:left w:val="none" w:sz="0" w:space="0" w:color="auto"/>
                <w:bottom w:val="none" w:sz="0" w:space="0" w:color="auto"/>
                <w:right w:val="none" w:sz="0" w:space="0" w:color="auto"/>
              </w:divBdr>
              <w:divsChild>
                <w:div w:id="1914850347">
                  <w:marLeft w:val="0"/>
                  <w:marRight w:val="0"/>
                  <w:marTop w:val="0"/>
                  <w:marBottom w:val="0"/>
                  <w:divBdr>
                    <w:top w:val="none" w:sz="0" w:space="0" w:color="auto"/>
                    <w:left w:val="none" w:sz="0" w:space="0" w:color="auto"/>
                    <w:bottom w:val="none" w:sz="0" w:space="0" w:color="auto"/>
                    <w:right w:val="none" w:sz="0" w:space="0" w:color="auto"/>
                  </w:divBdr>
                </w:div>
              </w:divsChild>
            </w:div>
            <w:div w:id="1427652624">
              <w:marLeft w:val="0"/>
              <w:marRight w:val="0"/>
              <w:marTop w:val="0"/>
              <w:marBottom w:val="0"/>
              <w:divBdr>
                <w:top w:val="none" w:sz="0" w:space="0" w:color="auto"/>
                <w:left w:val="none" w:sz="0" w:space="0" w:color="auto"/>
                <w:bottom w:val="none" w:sz="0" w:space="0" w:color="auto"/>
                <w:right w:val="none" w:sz="0" w:space="0" w:color="auto"/>
              </w:divBdr>
              <w:divsChild>
                <w:div w:id="1314405763">
                  <w:marLeft w:val="0"/>
                  <w:marRight w:val="0"/>
                  <w:marTop w:val="0"/>
                  <w:marBottom w:val="0"/>
                  <w:divBdr>
                    <w:top w:val="none" w:sz="0" w:space="0" w:color="auto"/>
                    <w:left w:val="none" w:sz="0" w:space="0" w:color="auto"/>
                    <w:bottom w:val="none" w:sz="0" w:space="0" w:color="auto"/>
                    <w:right w:val="none" w:sz="0" w:space="0" w:color="auto"/>
                  </w:divBdr>
                  <w:divsChild>
                    <w:div w:id="20550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8413">
          <w:marLeft w:val="0"/>
          <w:marRight w:val="0"/>
          <w:marTop w:val="240"/>
          <w:marBottom w:val="240"/>
          <w:divBdr>
            <w:top w:val="none" w:sz="0" w:space="0" w:color="auto"/>
            <w:left w:val="none" w:sz="0" w:space="0" w:color="auto"/>
            <w:bottom w:val="none" w:sz="0" w:space="0" w:color="auto"/>
            <w:right w:val="none" w:sz="0" w:space="0" w:color="auto"/>
          </w:divBdr>
          <w:divsChild>
            <w:div w:id="1972441487">
              <w:marLeft w:val="0"/>
              <w:marRight w:val="0"/>
              <w:marTop w:val="0"/>
              <w:marBottom w:val="0"/>
              <w:divBdr>
                <w:top w:val="none" w:sz="0" w:space="0" w:color="auto"/>
                <w:left w:val="none" w:sz="0" w:space="0" w:color="auto"/>
                <w:bottom w:val="none" w:sz="0" w:space="0" w:color="auto"/>
                <w:right w:val="none" w:sz="0" w:space="0" w:color="auto"/>
              </w:divBdr>
              <w:divsChild>
                <w:div w:id="1262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7899">
          <w:marLeft w:val="0"/>
          <w:marRight w:val="0"/>
          <w:marTop w:val="0"/>
          <w:marBottom w:val="0"/>
          <w:divBdr>
            <w:top w:val="none" w:sz="0" w:space="0" w:color="auto"/>
            <w:left w:val="none" w:sz="0" w:space="0" w:color="auto"/>
            <w:bottom w:val="none" w:sz="0" w:space="0" w:color="auto"/>
            <w:right w:val="none" w:sz="0" w:space="0" w:color="auto"/>
          </w:divBdr>
        </w:div>
        <w:div w:id="2112166850">
          <w:marLeft w:val="0"/>
          <w:marRight w:val="0"/>
          <w:marTop w:val="0"/>
          <w:marBottom w:val="240"/>
          <w:divBdr>
            <w:top w:val="none" w:sz="0" w:space="0" w:color="auto"/>
            <w:left w:val="none" w:sz="0" w:space="0" w:color="auto"/>
            <w:bottom w:val="none" w:sz="0" w:space="0" w:color="auto"/>
            <w:right w:val="none" w:sz="0" w:space="0" w:color="auto"/>
          </w:divBdr>
          <w:divsChild>
            <w:div w:id="1551262062">
              <w:marLeft w:val="0"/>
              <w:marRight w:val="0"/>
              <w:marTop w:val="0"/>
              <w:marBottom w:val="0"/>
              <w:divBdr>
                <w:top w:val="none" w:sz="0" w:space="0" w:color="auto"/>
                <w:left w:val="none" w:sz="0" w:space="0" w:color="auto"/>
                <w:bottom w:val="none" w:sz="0" w:space="0" w:color="auto"/>
                <w:right w:val="none" w:sz="0" w:space="0" w:color="auto"/>
              </w:divBdr>
            </w:div>
            <w:div w:id="17598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8602-EBEA-4C85-949D-51B9533C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ParaLegal Two</dc:creator>
  <cp:keywords/>
  <dc:description/>
  <cp:lastModifiedBy>Rob Vogel</cp:lastModifiedBy>
  <cp:revision>10</cp:revision>
  <dcterms:created xsi:type="dcterms:W3CDTF">2018-03-03T14:26:00Z</dcterms:created>
  <dcterms:modified xsi:type="dcterms:W3CDTF">2018-03-05T16:36:00Z</dcterms:modified>
</cp:coreProperties>
</file>