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2FF" w:rsidRPr="00A819BD" w:rsidRDefault="00AF68E4" w:rsidP="00481361">
      <w:pPr>
        <w:jc w:val="center"/>
        <w:rPr>
          <w:rFonts w:ascii="Times New Roman" w:hAnsi="Times New Roman"/>
          <w:b/>
          <w:caps/>
          <w:sz w:val="24"/>
          <w:szCs w:val="24"/>
          <w:u w:val="single"/>
        </w:rPr>
      </w:pPr>
      <w:bookmarkStart w:id="0" w:name="_GoBack"/>
      <w:bookmarkEnd w:id="0"/>
      <w:r>
        <w:rPr>
          <w:rFonts w:ascii="Times New Roman" w:hAnsi="Times New Roman"/>
          <w:b/>
          <w:caps/>
          <w:sz w:val="24"/>
          <w:szCs w:val="24"/>
          <w:u w:val="single"/>
        </w:rPr>
        <w:t>DATA BREACHES</w:t>
      </w:r>
      <w:r w:rsidR="00684743">
        <w:rPr>
          <w:rFonts w:ascii="Times New Roman" w:hAnsi="Times New Roman"/>
          <w:b/>
          <w:caps/>
          <w:sz w:val="24"/>
          <w:szCs w:val="24"/>
          <w:u w:val="single"/>
        </w:rPr>
        <w:t>:</w:t>
      </w:r>
      <w:r>
        <w:rPr>
          <w:rFonts w:ascii="Times New Roman" w:hAnsi="Times New Roman"/>
          <w:b/>
          <w:caps/>
          <w:sz w:val="24"/>
          <w:szCs w:val="24"/>
          <w:u w:val="single"/>
        </w:rPr>
        <w:t xml:space="preserve"> HOW TO RESPOND AND WHAT TO EXPECT</w:t>
      </w:r>
      <w:r w:rsidR="007F2A0A">
        <w:rPr>
          <w:rFonts w:ascii="Times New Roman" w:hAnsi="Times New Roman"/>
          <w:b/>
          <w:caps/>
          <w:sz w:val="24"/>
          <w:szCs w:val="24"/>
          <w:u w:val="single"/>
        </w:rPr>
        <w:t xml:space="preserve"> </w:t>
      </w:r>
    </w:p>
    <w:p w:rsidR="007F2A0A" w:rsidRDefault="007F2A0A" w:rsidP="00481361">
      <w:pPr>
        <w:jc w:val="center"/>
        <w:rPr>
          <w:rFonts w:ascii="Times New Roman" w:hAnsi="Times New Roman"/>
          <w:b/>
          <w:sz w:val="24"/>
          <w:szCs w:val="24"/>
        </w:rPr>
      </w:pPr>
    </w:p>
    <w:p w:rsidR="00A819BD" w:rsidRDefault="00A819BD" w:rsidP="00481361">
      <w:pPr>
        <w:jc w:val="center"/>
        <w:rPr>
          <w:rFonts w:ascii="Times New Roman" w:hAnsi="Times New Roman"/>
          <w:b/>
          <w:sz w:val="24"/>
          <w:szCs w:val="24"/>
        </w:rPr>
      </w:pPr>
      <w:r>
        <w:rPr>
          <w:rFonts w:ascii="Times New Roman" w:hAnsi="Times New Roman"/>
          <w:b/>
          <w:sz w:val="24"/>
          <w:szCs w:val="24"/>
        </w:rPr>
        <w:t>By: Erin Fleming Dunlap, Esq. and Abby Bonjean, Esq.</w:t>
      </w:r>
    </w:p>
    <w:p w:rsidR="00894D71" w:rsidRDefault="00894D71" w:rsidP="00481361">
      <w:pPr>
        <w:jc w:val="center"/>
        <w:rPr>
          <w:rFonts w:ascii="Times New Roman" w:hAnsi="Times New Roman"/>
          <w:b/>
          <w:sz w:val="24"/>
          <w:szCs w:val="24"/>
        </w:rPr>
      </w:pPr>
    </w:p>
    <w:p w:rsidR="00894D71" w:rsidRDefault="00894D71" w:rsidP="00481361">
      <w:pPr>
        <w:jc w:val="center"/>
        <w:rPr>
          <w:rFonts w:ascii="Times New Roman" w:hAnsi="Times New Roman"/>
          <w:b/>
          <w:sz w:val="24"/>
          <w:szCs w:val="24"/>
        </w:rPr>
      </w:pPr>
      <w:r>
        <w:rPr>
          <w:rFonts w:ascii="Times New Roman" w:hAnsi="Times New Roman"/>
          <w:b/>
          <w:sz w:val="24"/>
          <w:szCs w:val="24"/>
        </w:rPr>
        <w:t>February 17, 2017</w:t>
      </w:r>
    </w:p>
    <w:p w:rsidR="00481361" w:rsidRDefault="00481361" w:rsidP="00481361">
      <w:pPr>
        <w:jc w:val="center"/>
        <w:rPr>
          <w:rFonts w:ascii="Times New Roman" w:hAnsi="Times New Roman"/>
          <w:b/>
          <w:sz w:val="24"/>
          <w:szCs w:val="24"/>
        </w:rPr>
      </w:pPr>
    </w:p>
    <w:p w:rsidR="00761DE4" w:rsidRPr="00761DE4" w:rsidRDefault="00684743" w:rsidP="00761DE4">
      <w:pPr>
        <w:spacing w:after="240"/>
        <w:jc w:val="both"/>
        <w:rPr>
          <w:rFonts w:ascii="Times New Roman" w:hAnsi="Times New Roman"/>
          <w:sz w:val="24"/>
          <w:szCs w:val="24"/>
        </w:rPr>
      </w:pPr>
      <w:r>
        <w:rPr>
          <w:rFonts w:ascii="Times New Roman" w:hAnsi="Times New Roman"/>
          <w:sz w:val="24"/>
          <w:szCs w:val="24"/>
        </w:rPr>
        <w:t xml:space="preserve">Reports </w:t>
      </w:r>
      <w:r w:rsidR="00761DE4" w:rsidRPr="00761DE4">
        <w:rPr>
          <w:rFonts w:ascii="Times New Roman" w:hAnsi="Times New Roman"/>
          <w:sz w:val="24"/>
          <w:szCs w:val="24"/>
        </w:rPr>
        <w:t xml:space="preserve">of a </w:t>
      </w:r>
      <w:r w:rsidR="00761DE4">
        <w:rPr>
          <w:rFonts w:ascii="Times New Roman" w:hAnsi="Times New Roman"/>
          <w:sz w:val="24"/>
          <w:szCs w:val="24"/>
        </w:rPr>
        <w:t xml:space="preserve">potential </w:t>
      </w:r>
      <w:r>
        <w:rPr>
          <w:rFonts w:ascii="Times New Roman" w:hAnsi="Times New Roman"/>
          <w:sz w:val="24"/>
          <w:szCs w:val="24"/>
        </w:rPr>
        <w:t xml:space="preserve">data breach </w:t>
      </w:r>
      <w:r w:rsidR="00761DE4">
        <w:rPr>
          <w:rFonts w:ascii="Times New Roman" w:hAnsi="Times New Roman"/>
          <w:sz w:val="24"/>
          <w:szCs w:val="24"/>
        </w:rPr>
        <w:t xml:space="preserve">can be devastating to any organization.  Often times, </w:t>
      </w:r>
      <w:r w:rsidR="00BC566E">
        <w:rPr>
          <w:rFonts w:ascii="Times New Roman" w:hAnsi="Times New Roman"/>
          <w:sz w:val="24"/>
          <w:szCs w:val="24"/>
        </w:rPr>
        <w:t>IT department</w:t>
      </w:r>
      <w:r>
        <w:rPr>
          <w:rFonts w:ascii="Times New Roman" w:hAnsi="Times New Roman"/>
          <w:sz w:val="24"/>
          <w:szCs w:val="24"/>
        </w:rPr>
        <w:t>s are</w:t>
      </w:r>
      <w:r w:rsidR="00BC566E">
        <w:rPr>
          <w:rFonts w:ascii="Times New Roman" w:hAnsi="Times New Roman"/>
          <w:sz w:val="24"/>
          <w:szCs w:val="24"/>
        </w:rPr>
        <w:t xml:space="preserve"> under-staffed or ill-equipped to jump into “incident response” mode </w:t>
      </w:r>
      <w:r>
        <w:rPr>
          <w:rFonts w:ascii="Times New Roman" w:hAnsi="Times New Roman"/>
          <w:sz w:val="24"/>
          <w:szCs w:val="24"/>
        </w:rPr>
        <w:t xml:space="preserve">and take immediate </w:t>
      </w:r>
      <w:r w:rsidR="00BC566E">
        <w:rPr>
          <w:rFonts w:ascii="Times New Roman" w:hAnsi="Times New Roman"/>
          <w:sz w:val="24"/>
          <w:szCs w:val="24"/>
        </w:rPr>
        <w:t>steps that are necessary to identify, correct and</w:t>
      </w:r>
      <w:r>
        <w:rPr>
          <w:rFonts w:ascii="Times New Roman" w:hAnsi="Times New Roman"/>
          <w:sz w:val="24"/>
          <w:szCs w:val="24"/>
        </w:rPr>
        <w:t xml:space="preserve"> </w:t>
      </w:r>
      <w:r w:rsidR="00BC566E">
        <w:rPr>
          <w:rFonts w:ascii="Times New Roman" w:hAnsi="Times New Roman"/>
          <w:sz w:val="24"/>
          <w:szCs w:val="24"/>
        </w:rPr>
        <w:t>contain the</w:t>
      </w:r>
      <w:r>
        <w:rPr>
          <w:rFonts w:ascii="Times New Roman" w:hAnsi="Times New Roman"/>
          <w:sz w:val="24"/>
          <w:szCs w:val="24"/>
        </w:rPr>
        <w:t xml:space="preserve"> problem.  Further, </w:t>
      </w:r>
      <w:r w:rsidR="00BC566E">
        <w:rPr>
          <w:rFonts w:ascii="Times New Roman" w:hAnsi="Times New Roman"/>
          <w:sz w:val="24"/>
          <w:szCs w:val="24"/>
        </w:rPr>
        <w:t>compliance dep</w:t>
      </w:r>
      <w:r w:rsidR="001B3C6A">
        <w:rPr>
          <w:rFonts w:ascii="Times New Roman" w:hAnsi="Times New Roman"/>
          <w:sz w:val="24"/>
          <w:szCs w:val="24"/>
        </w:rPr>
        <w:t>artment</w:t>
      </w:r>
      <w:r>
        <w:rPr>
          <w:rFonts w:ascii="Times New Roman" w:hAnsi="Times New Roman"/>
          <w:sz w:val="24"/>
          <w:szCs w:val="24"/>
        </w:rPr>
        <w:t>s</w:t>
      </w:r>
      <w:r w:rsidR="00AF68E4">
        <w:rPr>
          <w:rFonts w:ascii="Times New Roman" w:hAnsi="Times New Roman"/>
          <w:sz w:val="24"/>
          <w:szCs w:val="24"/>
        </w:rPr>
        <w:t xml:space="preserve"> do not always have a </w:t>
      </w:r>
      <w:r w:rsidR="00BC566E">
        <w:rPr>
          <w:rFonts w:ascii="Times New Roman" w:hAnsi="Times New Roman"/>
          <w:sz w:val="24"/>
          <w:szCs w:val="24"/>
        </w:rPr>
        <w:t>formal</w:t>
      </w:r>
      <w:r>
        <w:rPr>
          <w:rFonts w:ascii="Times New Roman" w:hAnsi="Times New Roman"/>
          <w:sz w:val="24"/>
          <w:szCs w:val="24"/>
        </w:rPr>
        <w:t xml:space="preserve"> </w:t>
      </w:r>
      <w:r w:rsidR="00BC566E">
        <w:rPr>
          <w:rFonts w:ascii="Times New Roman" w:hAnsi="Times New Roman"/>
          <w:sz w:val="24"/>
          <w:szCs w:val="24"/>
        </w:rPr>
        <w:t xml:space="preserve">process </w:t>
      </w:r>
      <w:r>
        <w:rPr>
          <w:rFonts w:ascii="Times New Roman" w:hAnsi="Times New Roman"/>
          <w:sz w:val="24"/>
          <w:szCs w:val="24"/>
        </w:rPr>
        <w:t xml:space="preserve">in place </w:t>
      </w:r>
      <w:r w:rsidR="00BC566E">
        <w:rPr>
          <w:rFonts w:ascii="Times New Roman" w:hAnsi="Times New Roman"/>
          <w:sz w:val="24"/>
          <w:szCs w:val="24"/>
        </w:rPr>
        <w:t>to address the</w:t>
      </w:r>
      <w:r>
        <w:rPr>
          <w:rFonts w:ascii="Times New Roman" w:hAnsi="Times New Roman"/>
          <w:sz w:val="24"/>
          <w:szCs w:val="24"/>
        </w:rPr>
        <w:t xml:space="preserve"> problem </w:t>
      </w:r>
      <w:r w:rsidR="001F265C">
        <w:rPr>
          <w:rFonts w:ascii="Times New Roman" w:hAnsi="Times New Roman"/>
          <w:sz w:val="24"/>
          <w:szCs w:val="24"/>
        </w:rPr>
        <w:t xml:space="preserve">quickly </w:t>
      </w:r>
      <w:r w:rsidR="001B3C6A">
        <w:rPr>
          <w:rFonts w:ascii="Times New Roman" w:hAnsi="Times New Roman"/>
          <w:sz w:val="24"/>
          <w:szCs w:val="24"/>
        </w:rPr>
        <w:t xml:space="preserve">from </w:t>
      </w:r>
      <w:r>
        <w:rPr>
          <w:rFonts w:ascii="Times New Roman" w:hAnsi="Times New Roman"/>
          <w:sz w:val="24"/>
          <w:szCs w:val="24"/>
        </w:rPr>
        <w:t>a regulatory and</w:t>
      </w:r>
      <w:r w:rsidR="006A04B9">
        <w:rPr>
          <w:rFonts w:ascii="Times New Roman" w:hAnsi="Times New Roman"/>
          <w:sz w:val="24"/>
          <w:szCs w:val="24"/>
        </w:rPr>
        <w:t xml:space="preserve"> operational </w:t>
      </w:r>
      <w:r w:rsidR="00AF68E4">
        <w:rPr>
          <w:rFonts w:ascii="Times New Roman" w:hAnsi="Times New Roman"/>
          <w:sz w:val="24"/>
          <w:szCs w:val="24"/>
        </w:rPr>
        <w:t xml:space="preserve">perspective, so organizations are scrambling to figure out what to do and when to do it.  </w:t>
      </w:r>
      <w:r w:rsidR="00481361">
        <w:rPr>
          <w:rFonts w:ascii="Times New Roman" w:hAnsi="Times New Roman"/>
          <w:sz w:val="24"/>
          <w:szCs w:val="24"/>
        </w:rPr>
        <w:t>While we always advise our clients to put in the time and effort to create an incident response team and prepare a formal incident response plan that is tailored to the specific organization (and blessed by senior leadership), t</w:t>
      </w:r>
      <w:r w:rsidR="001B3C6A">
        <w:rPr>
          <w:rFonts w:ascii="Times New Roman" w:hAnsi="Times New Roman"/>
          <w:sz w:val="24"/>
          <w:szCs w:val="24"/>
        </w:rPr>
        <w:t xml:space="preserve">his white paper </w:t>
      </w:r>
      <w:r w:rsidR="00AF68E4">
        <w:rPr>
          <w:rFonts w:ascii="Times New Roman" w:hAnsi="Times New Roman"/>
          <w:sz w:val="24"/>
          <w:szCs w:val="24"/>
        </w:rPr>
        <w:t>provides a quick overview</w:t>
      </w:r>
      <w:r w:rsidR="00164A9E">
        <w:rPr>
          <w:rFonts w:ascii="Times New Roman" w:hAnsi="Times New Roman"/>
          <w:sz w:val="24"/>
          <w:szCs w:val="24"/>
        </w:rPr>
        <w:t xml:space="preserve"> and some practical tips on how to respond and what to expect following a data breach</w:t>
      </w:r>
      <w:r w:rsidR="001F265C">
        <w:rPr>
          <w:rFonts w:ascii="Times New Roman" w:hAnsi="Times New Roman"/>
          <w:sz w:val="24"/>
          <w:szCs w:val="24"/>
        </w:rPr>
        <w:t xml:space="preserve">. </w:t>
      </w:r>
      <w:r w:rsidR="00BC566E">
        <w:rPr>
          <w:rFonts w:ascii="Times New Roman" w:hAnsi="Times New Roman"/>
          <w:sz w:val="24"/>
          <w:szCs w:val="24"/>
        </w:rPr>
        <w:t xml:space="preserve">   </w:t>
      </w:r>
      <w:r w:rsidR="00761DE4">
        <w:rPr>
          <w:rFonts w:ascii="Times New Roman" w:hAnsi="Times New Roman"/>
          <w:sz w:val="24"/>
          <w:szCs w:val="24"/>
        </w:rPr>
        <w:t xml:space="preserve">  </w:t>
      </w:r>
      <w:r w:rsidR="00761DE4" w:rsidRPr="00761DE4">
        <w:rPr>
          <w:rFonts w:ascii="Times New Roman" w:hAnsi="Times New Roman"/>
          <w:sz w:val="24"/>
          <w:szCs w:val="24"/>
        </w:rPr>
        <w:t xml:space="preserve"> </w:t>
      </w:r>
    </w:p>
    <w:p w:rsidR="00412390" w:rsidRDefault="00412390" w:rsidP="00412390">
      <w:pPr>
        <w:spacing w:after="240"/>
        <w:jc w:val="both"/>
        <w:rPr>
          <w:rFonts w:ascii="Times New Roman" w:hAnsi="Times New Roman"/>
          <w:b/>
          <w:sz w:val="24"/>
          <w:szCs w:val="24"/>
        </w:rPr>
      </w:pPr>
      <w:r w:rsidRPr="007B5EC8">
        <w:rPr>
          <w:rFonts w:ascii="Times New Roman" w:hAnsi="Times New Roman"/>
          <w:b/>
          <w:sz w:val="24"/>
          <w:szCs w:val="24"/>
        </w:rPr>
        <w:t>I.</w:t>
      </w:r>
      <w:r w:rsidRPr="007B5EC8">
        <w:rPr>
          <w:rFonts w:ascii="Times New Roman" w:hAnsi="Times New Roman"/>
          <w:b/>
          <w:sz w:val="24"/>
          <w:szCs w:val="24"/>
        </w:rPr>
        <w:tab/>
      </w:r>
      <w:r w:rsidR="00065247" w:rsidRPr="00065247">
        <w:rPr>
          <w:rFonts w:ascii="Times New Roman" w:hAnsi="Times New Roman"/>
          <w:b/>
          <w:sz w:val="24"/>
          <w:szCs w:val="24"/>
          <w:u w:val="single"/>
        </w:rPr>
        <w:t>Reporting/</w:t>
      </w:r>
      <w:r w:rsidRPr="00065247">
        <w:rPr>
          <w:rFonts w:ascii="Times New Roman" w:hAnsi="Times New Roman"/>
          <w:b/>
          <w:sz w:val="24"/>
          <w:szCs w:val="24"/>
          <w:u w:val="single"/>
        </w:rPr>
        <w:t>In</w:t>
      </w:r>
      <w:r w:rsidRPr="00D87226">
        <w:rPr>
          <w:rFonts w:ascii="Times New Roman" w:hAnsi="Times New Roman"/>
          <w:b/>
          <w:sz w:val="24"/>
          <w:szCs w:val="24"/>
          <w:u w:val="single"/>
        </w:rPr>
        <w:t>vestigation</w:t>
      </w:r>
      <w:r w:rsidR="0010746C">
        <w:rPr>
          <w:rFonts w:ascii="Times New Roman" w:hAnsi="Times New Roman"/>
          <w:b/>
          <w:sz w:val="24"/>
          <w:szCs w:val="24"/>
          <w:u w:val="single"/>
        </w:rPr>
        <w:t>/Mitigation</w:t>
      </w:r>
    </w:p>
    <w:p w:rsidR="00944622" w:rsidRDefault="00065247" w:rsidP="00217513">
      <w:pPr>
        <w:jc w:val="both"/>
        <w:rPr>
          <w:rFonts w:ascii="Times New Roman" w:hAnsi="Times New Roman"/>
          <w:sz w:val="24"/>
          <w:szCs w:val="24"/>
        </w:rPr>
      </w:pPr>
      <w:r>
        <w:rPr>
          <w:rFonts w:ascii="Times New Roman" w:hAnsi="Times New Roman"/>
          <w:sz w:val="24"/>
          <w:szCs w:val="24"/>
        </w:rPr>
        <w:t>Data breaches and security incidents are trigg</w:t>
      </w:r>
      <w:r w:rsidR="00165072">
        <w:rPr>
          <w:rFonts w:ascii="Times New Roman" w:hAnsi="Times New Roman"/>
          <w:sz w:val="24"/>
          <w:szCs w:val="24"/>
        </w:rPr>
        <w:t>er</w:t>
      </w:r>
      <w:r>
        <w:rPr>
          <w:rFonts w:ascii="Times New Roman" w:hAnsi="Times New Roman"/>
          <w:sz w:val="24"/>
          <w:szCs w:val="24"/>
        </w:rPr>
        <w:t>ed in many ways (</w:t>
      </w:r>
      <w:r w:rsidRPr="00944622">
        <w:rPr>
          <w:rFonts w:ascii="Times New Roman" w:hAnsi="Times New Roman"/>
          <w:i/>
          <w:sz w:val="24"/>
          <w:szCs w:val="24"/>
        </w:rPr>
        <w:t>e.g.</w:t>
      </w:r>
      <w:r>
        <w:rPr>
          <w:rFonts w:ascii="Times New Roman" w:hAnsi="Times New Roman"/>
          <w:sz w:val="24"/>
          <w:szCs w:val="24"/>
        </w:rPr>
        <w:t>, phishing attacks, malware,</w:t>
      </w:r>
      <w:r w:rsidR="00944622">
        <w:rPr>
          <w:rFonts w:ascii="Times New Roman" w:hAnsi="Times New Roman"/>
          <w:sz w:val="24"/>
          <w:szCs w:val="24"/>
        </w:rPr>
        <w:t xml:space="preserve"> ransomware attacks and system errors).  It is critical that employees know how to identify and report a potential data breach.  Some organizations have a well-publicized </w:t>
      </w:r>
      <w:r w:rsidR="0080706E">
        <w:rPr>
          <w:rFonts w:ascii="Times New Roman" w:hAnsi="Times New Roman"/>
          <w:sz w:val="24"/>
          <w:szCs w:val="24"/>
        </w:rPr>
        <w:t>help-desk line or reporting hotline</w:t>
      </w:r>
      <w:r w:rsidR="00944622">
        <w:rPr>
          <w:rFonts w:ascii="Times New Roman" w:hAnsi="Times New Roman"/>
          <w:sz w:val="24"/>
          <w:szCs w:val="24"/>
        </w:rPr>
        <w:t xml:space="preserve">.  Employees should </w:t>
      </w:r>
      <w:r w:rsidR="0080706E">
        <w:rPr>
          <w:rFonts w:ascii="Times New Roman" w:hAnsi="Times New Roman"/>
          <w:sz w:val="24"/>
          <w:szCs w:val="24"/>
        </w:rPr>
        <w:t xml:space="preserve">know who to call, and they should be instructed </w:t>
      </w:r>
      <w:r w:rsidR="00944622">
        <w:rPr>
          <w:rFonts w:ascii="Times New Roman" w:hAnsi="Times New Roman"/>
          <w:sz w:val="24"/>
          <w:szCs w:val="24"/>
        </w:rPr>
        <w:t xml:space="preserve">not </w:t>
      </w:r>
      <w:r w:rsidR="0080706E">
        <w:rPr>
          <w:rFonts w:ascii="Times New Roman" w:hAnsi="Times New Roman"/>
          <w:sz w:val="24"/>
          <w:szCs w:val="24"/>
        </w:rPr>
        <w:t xml:space="preserve">to delay </w:t>
      </w:r>
      <w:r w:rsidR="00944622">
        <w:rPr>
          <w:rFonts w:ascii="Times New Roman" w:hAnsi="Times New Roman"/>
          <w:sz w:val="24"/>
          <w:szCs w:val="24"/>
        </w:rPr>
        <w:t>report</w:t>
      </w:r>
      <w:r w:rsidR="00CF5214">
        <w:rPr>
          <w:rFonts w:ascii="Times New Roman" w:hAnsi="Times New Roman"/>
          <w:sz w:val="24"/>
          <w:szCs w:val="24"/>
        </w:rPr>
        <w:t>ing –</w:t>
      </w:r>
      <w:r w:rsidR="0080706E">
        <w:rPr>
          <w:rFonts w:ascii="Times New Roman" w:hAnsi="Times New Roman"/>
          <w:sz w:val="24"/>
          <w:szCs w:val="24"/>
        </w:rPr>
        <w:t xml:space="preserve"> even if it is only a </w:t>
      </w:r>
      <w:r w:rsidR="00944622">
        <w:rPr>
          <w:rFonts w:ascii="Times New Roman" w:hAnsi="Times New Roman"/>
          <w:sz w:val="24"/>
          <w:szCs w:val="24"/>
        </w:rPr>
        <w:t>suspected issue.  The quicker the organization learns about an incident, the sooner they can start their incident response process.</w:t>
      </w:r>
    </w:p>
    <w:p w:rsidR="00944622" w:rsidRDefault="00944622" w:rsidP="00217513">
      <w:pPr>
        <w:jc w:val="both"/>
        <w:rPr>
          <w:rFonts w:ascii="Times New Roman" w:hAnsi="Times New Roman"/>
          <w:sz w:val="24"/>
          <w:szCs w:val="24"/>
        </w:rPr>
      </w:pPr>
    </w:p>
    <w:p w:rsidR="0010746C" w:rsidRDefault="002617A8" w:rsidP="00217513">
      <w:pPr>
        <w:jc w:val="both"/>
        <w:rPr>
          <w:rFonts w:ascii="Times New Roman" w:hAnsi="Times New Roman"/>
          <w:sz w:val="24"/>
          <w:szCs w:val="24"/>
        </w:rPr>
      </w:pPr>
      <w:r>
        <w:rPr>
          <w:rFonts w:ascii="Times New Roman" w:hAnsi="Times New Roman"/>
          <w:sz w:val="24"/>
          <w:szCs w:val="24"/>
        </w:rPr>
        <w:t>When an</w:t>
      </w:r>
      <w:r w:rsidR="00065247">
        <w:rPr>
          <w:rFonts w:ascii="Times New Roman" w:hAnsi="Times New Roman"/>
          <w:sz w:val="24"/>
          <w:szCs w:val="24"/>
        </w:rPr>
        <w:t xml:space="preserve"> organization lea</w:t>
      </w:r>
      <w:r w:rsidR="00391755">
        <w:rPr>
          <w:rFonts w:ascii="Times New Roman" w:hAnsi="Times New Roman"/>
          <w:sz w:val="24"/>
          <w:szCs w:val="24"/>
        </w:rPr>
        <w:t>rn</w:t>
      </w:r>
      <w:r w:rsidR="00065247">
        <w:rPr>
          <w:rFonts w:ascii="Times New Roman" w:hAnsi="Times New Roman"/>
          <w:sz w:val="24"/>
          <w:szCs w:val="24"/>
        </w:rPr>
        <w:t>s</w:t>
      </w:r>
      <w:r w:rsidR="00391755">
        <w:rPr>
          <w:rFonts w:ascii="Times New Roman" w:hAnsi="Times New Roman"/>
          <w:sz w:val="24"/>
          <w:szCs w:val="24"/>
        </w:rPr>
        <w:t xml:space="preserve"> of a </w:t>
      </w:r>
      <w:r w:rsidR="00761DE4">
        <w:rPr>
          <w:rFonts w:ascii="Times New Roman" w:hAnsi="Times New Roman"/>
          <w:sz w:val="24"/>
          <w:szCs w:val="24"/>
        </w:rPr>
        <w:t xml:space="preserve">potential </w:t>
      </w:r>
      <w:r w:rsidR="001F265C">
        <w:rPr>
          <w:rFonts w:ascii="Times New Roman" w:hAnsi="Times New Roman"/>
          <w:sz w:val="24"/>
          <w:szCs w:val="24"/>
        </w:rPr>
        <w:t xml:space="preserve">data </w:t>
      </w:r>
      <w:r w:rsidR="00C67AFA">
        <w:rPr>
          <w:rFonts w:ascii="Times New Roman" w:hAnsi="Times New Roman"/>
          <w:sz w:val="24"/>
          <w:szCs w:val="24"/>
        </w:rPr>
        <w:t>breach</w:t>
      </w:r>
      <w:r w:rsidR="00391755">
        <w:rPr>
          <w:rFonts w:ascii="Times New Roman" w:hAnsi="Times New Roman"/>
          <w:sz w:val="24"/>
          <w:szCs w:val="24"/>
        </w:rPr>
        <w:t xml:space="preserve">, </w:t>
      </w:r>
      <w:r w:rsidR="00944622">
        <w:rPr>
          <w:rFonts w:ascii="Times New Roman" w:hAnsi="Times New Roman"/>
          <w:sz w:val="24"/>
          <w:szCs w:val="24"/>
        </w:rPr>
        <w:t xml:space="preserve">it should </w:t>
      </w:r>
      <w:r w:rsidR="00391755">
        <w:rPr>
          <w:rFonts w:ascii="Times New Roman" w:hAnsi="Times New Roman"/>
          <w:sz w:val="24"/>
          <w:szCs w:val="24"/>
        </w:rPr>
        <w:t>take</w:t>
      </w:r>
      <w:r w:rsidR="00DB0003">
        <w:rPr>
          <w:rFonts w:ascii="Times New Roman" w:hAnsi="Times New Roman"/>
          <w:sz w:val="24"/>
          <w:szCs w:val="24"/>
        </w:rPr>
        <w:t xml:space="preserve"> immediate</w:t>
      </w:r>
      <w:r w:rsidR="00391755">
        <w:rPr>
          <w:rFonts w:ascii="Times New Roman" w:hAnsi="Times New Roman"/>
          <w:sz w:val="24"/>
          <w:szCs w:val="24"/>
        </w:rPr>
        <w:t xml:space="preserve"> steps to </w:t>
      </w:r>
      <w:r w:rsidR="00065247">
        <w:rPr>
          <w:rFonts w:ascii="Times New Roman" w:hAnsi="Times New Roman"/>
          <w:sz w:val="24"/>
          <w:szCs w:val="24"/>
        </w:rPr>
        <w:t xml:space="preserve">identify, </w:t>
      </w:r>
      <w:r w:rsidR="00391755">
        <w:rPr>
          <w:rFonts w:ascii="Times New Roman" w:hAnsi="Times New Roman"/>
          <w:sz w:val="24"/>
          <w:szCs w:val="24"/>
        </w:rPr>
        <w:t>c</w:t>
      </w:r>
      <w:r w:rsidR="00217513" w:rsidRPr="00217513">
        <w:rPr>
          <w:rFonts w:ascii="Times New Roman" w:hAnsi="Times New Roman"/>
          <w:sz w:val="24"/>
          <w:szCs w:val="24"/>
        </w:rPr>
        <w:t>orrect and/or contain the issue</w:t>
      </w:r>
      <w:r w:rsidR="00761DE4">
        <w:rPr>
          <w:rFonts w:ascii="Times New Roman" w:hAnsi="Times New Roman"/>
          <w:sz w:val="24"/>
          <w:szCs w:val="24"/>
        </w:rPr>
        <w:t>.</w:t>
      </w:r>
      <w:r w:rsidR="0010746C">
        <w:rPr>
          <w:rFonts w:ascii="Times New Roman" w:hAnsi="Times New Roman"/>
          <w:sz w:val="24"/>
          <w:szCs w:val="24"/>
        </w:rPr>
        <w:t xml:space="preserve">  This may require shutting down systems or terminating workforce members</w:t>
      </w:r>
      <w:r w:rsidR="0080706E">
        <w:rPr>
          <w:rFonts w:ascii="Times New Roman" w:hAnsi="Times New Roman"/>
          <w:sz w:val="24"/>
          <w:szCs w:val="24"/>
        </w:rPr>
        <w:t>’</w:t>
      </w:r>
      <w:r w:rsidR="0010746C">
        <w:rPr>
          <w:rFonts w:ascii="Times New Roman" w:hAnsi="Times New Roman"/>
          <w:sz w:val="24"/>
          <w:szCs w:val="24"/>
        </w:rPr>
        <w:t xml:space="preserve"> access to the </w:t>
      </w:r>
      <w:r w:rsidR="0080706E">
        <w:rPr>
          <w:rFonts w:ascii="Times New Roman" w:hAnsi="Times New Roman"/>
          <w:sz w:val="24"/>
          <w:szCs w:val="24"/>
        </w:rPr>
        <w:t>system</w:t>
      </w:r>
      <w:r>
        <w:rPr>
          <w:rFonts w:ascii="Times New Roman" w:hAnsi="Times New Roman"/>
          <w:sz w:val="24"/>
          <w:szCs w:val="24"/>
        </w:rPr>
        <w:t>.  T</w:t>
      </w:r>
      <w:r w:rsidR="0010746C">
        <w:rPr>
          <w:rFonts w:ascii="Times New Roman" w:hAnsi="Times New Roman"/>
          <w:sz w:val="24"/>
          <w:szCs w:val="24"/>
        </w:rPr>
        <w:t xml:space="preserve">he organization will </w:t>
      </w:r>
      <w:r>
        <w:rPr>
          <w:rFonts w:ascii="Times New Roman" w:hAnsi="Times New Roman"/>
          <w:sz w:val="24"/>
          <w:szCs w:val="24"/>
        </w:rPr>
        <w:t xml:space="preserve">then </w:t>
      </w:r>
      <w:r w:rsidR="0010746C">
        <w:rPr>
          <w:rFonts w:ascii="Times New Roman" w:hAnsi="Times New Roman"/>
          <w:sz w:val="24"/>
          <w:szCs w:val="24"/>
        </w:rPr>
        <w:t>need to determine the scope of the breach</w:t>
      </w:r>
      <w:r w:rsidR="00485BCD">
        <w:rPr>
          <w:rFonts w:ascii="Times New Roman" w:hAnsi="Times New Roman"/>
          <w:sz w:val="24"/>
          <w:szCs w:val="24"/>
        </w:rPr>
        <w:t xml:space="preserve">, </w:t>
      </w:r>
      <w:r w:rsidR="00C67AFA">
        <w:rPr>
          <w:rFonts w:ascii="Times New Roman" w:hAnsi="Times New Roman"/>
          <w:sz w:val="24"/>
          <w:szCs w:val="24"/>
        </w:rPr>
        <w:t xml:space="preserve">including </w:t>
      </w:r>
      <w:r w:rsidR="00485BCD">
        <w:rPr>
          <w:rFonts w:ascii="Times New Roman" w:hAnsi="Times New Roman"/>
          <w:sz w:val="24"/>
          <w:szCs w:val="24"/>
        </w:rPr>
        <w:t>w</w:t>
      </w:r>
      <w:r w:rsidR="00217513" w:rsidRPr="00217513">
        <w:rPr>
          <w:rFonts w:ascii="Times New Roman" w:hAnsi="Times New Roman"/>
          <w:sz w:val="24"/>
          <w:szCs w:val="24"/>
        </w:rPr>
        <w:t xml:space="preserve">hat data </w:t>
      </w:r>
      <w:r w:rsidR="0080706E">
        <w:rPr>
          <w:rFonts w:ascii="Times New Roman" w:hAnsi="Times New Roman"/>
          <w:sz w:val="24"/>
          <w:szCs w:val="24"/>
        </w:rPr>
        <w:t xml:space="preserve">is involved </w:t>
      </w:r>
      <w:r w:rsidR="00C67AFA">
        <w:rPr>
          <w:rFonts w:ascii="Times New Roman" w:hAnsi="Times New Roman"/>
          <w:sz w:val="24"/>
          <w:szCs w:val="24"/>
        </w:rPr>
        <w:t xml:space="preserve">and </w:t>
      </w:r>
      <w:r w:rsidR="0080706E">
        <w:rPr>
          <w:rFonts w:ascii="Times New Roman" w:hAnsi="Times New Roman"/>
          <w:sz w:val="24"/>
          <w:szCs w:val="24"/>
        </w:rPr>
        <w:t xml:space="preserve">how many </w:t>
      </w:r>
      <w:r w:rsidR="00485BCD">
        <w:rPr>
          <w:rFonts w:ascii="Times New Roman" w:hAnsi="Times New Roman"/>
          <w:sz w:val="24"/>
          <w:szCs w:val="24"/>
        </w:rPr>
        <w:t xml:space="preserve">individuals have been affected.  </w:t>
      </w:r>
      <w:r w:rsidR="0010746C">
        <w:rPr>
          <w:rFonts w:ascii="Times New Roman" w:hAnsi="Times New Roman"/>
          <w:sz w:val="24"/>
          <w:szCs w:val="24"/>
        </w:rPr>
        <w:t xml:space="preserve">This may require </w:t>
      </w:r>
      <w:r w:rsidR="00B94429">
        <w:rPr>
          <w:rFonts w:ascii="Times New Roman" w:hAnsi="Times New Roman"/>
          <w:sz w:val="24"/>
          <w:szCs w:val="24"/>
        </w:rPr>
        <w:t xml:space="preserve">interviews with workforce members, a thorough review of systems or </w:t>
      </w:r>
      <w:r w:rsidR="0010746C">
        <w:rPr>
          <w:rFonts w:ascii="Times New Roman" w:hAnsi="Times New Roman"/>
          <w:sz w:val="24"/>
          <w:szCs w:val="24"/>
        </w:rPr>
        <w:t xml:space="preserve">the use of an outside vendor.  Some IT departments are </w:t>
      </w:r>
      <w:r w:rsidR="0080706E">
        <w:rPr>
          <w:rFonts w:ascii="Times New Roman" w:hAnsi="Times New Roman"/>
          <w:sz w:val="24"/>
          <w:szCs w:val="24"/>
        </w:rPr>
        <w:t>limited in the type</w:t>
      </w:r>
      <w:r w:rsidR="0010746C">
        <w:rPr>
          <w:rFonts w:ascii="Times New Roman" w:hAnsi="Times New Roman"/>
          <w:sz w:val="24"/>
          <w:szCs w:val="24"/>
        </w:rPr>
        <w:t xml:space="preserve"> </w:t>
      </w:r>
      <w:r w:rsidR="0080706E">
        <w:rPr>
          <w:rFonts w:ascii="Times New Roman" w:hAnsi="Times New Roman"/>
          <w:sz w:val="24"/>
          <w:szCs w:val="24"/>
        </w:rPr>
        <w:t xml:space="preserve">or depth </w:t>
      </w:r>
      <w:r w:rsidR="0010746C">
        <w:rPr>
          <w:rFonts w:ascii="Times New Roman" w:hAnsi="Times New Roman"/>
          <w:sz w:val="24"/>
          <w:szCs w:val="24"/>
        </w:rPr>
        <w:t xml:space="preserve">of </w:t>
      </w:r>
      <w:r w:rsidR="0080706E">
        <w:rPr>
          <w:rFonts w:ascii="Times New Roman" w:hAnsi="Times New Roman"/>
          <w:sz w:val="24"/>
          <w:szCs w:val="24"/>
        </w:rPr>
        <w:t xml:space="preserve">the </w:t>
      </w:r>
      <w:r w:rsidR="0010746C">
        <w:rPr>
          <w:rFonts w:ascii="Times New Roman" w:hAnsi="Times New Roman"/>
          <w:sz w:val="24"/>
          <w:szCs w:val="24"/>
        </w:rPr>
        <w:t xml:space="preserve">forensic analysis they can perform.  If the issue is big enough, it may be worth </w:t>
      </w:r>
      <w:r w:rsidR="0080706E">
        <w:rPr>
          <w:rFonts w:ascii="Times New Roman" w:hAnsi="Times New Roman"/>
          <w:sz w:val="24"/>
          <w:szCs w:val="24"/>
        </w:rPr>
        <w:t>spending the money on an</w:t>
      </w:r>
      <w:r w:rsidR="0010746C">
        <w:rPr>
          <w:rFonts w:ascii="Times New Roman" w:hAnsi="Times New Roman"/>
          <w:sz w:val="24"/>
          <w:szCs w:val="24"/>
        </w:rPr>
        <w:t xml:space="preserve"> outside analyst to take a deeper dive into the system or the data.  </w:t>
      </w:r>
    </w:p>
    <w:p w:rsidR="0010746C" w:rsidRDefault="0010746C" w:rsidP="00217513">
      <w:pPr>
        <w:jc w:val="both"/>
        <w:rPr>
          <w:rFonts w:ascii="Times New Roman" w:hAnsi="Times New Roman"/>
          <w:sz w:val="24"/>
          <w:szCs w:val="24"/>
        </w:rPr>
      </w:pPr>
    </w:p>
    <w:p w:rsidR="0038771B" w:rsidRDefault="00485BCD" w:rsidP="00217513">
      <w:pPr>
        <w:jc w:val="both"/>
        <w:rPr>
          <w:rFonts w:ascii="Times New Roman" w:hAnsi="Times New Roman"/>
          <w:sz w:val="24"/>
          <w:szCs w:val="24"/>
        </w:rPr>
      </w:pPr>
      <w:r>
        <w:rPr>
          <w:rFonts w:ascii="Times New Roman" w:hAnsi="Times New Roman"/>
          <w:sz w:val="24"/>
          <w:szCs w:val="24"/>
        </w:rPr>
        <w:t xml:space="preserve">Once the issue </w:t>
      </w:r>
      <w:r w:rsidR="009062E6">
        <w:rPr>
          <w:rFonts w:ascii="Times New Roman" w:hAnsi="Times New Roman"/>
          <w:sz w:val="24"/>
          <w:szCs w:val="24"/>
        </w:rPr>
        <w:t>is</w:t>
      </w:r>
      <w:r w:rsidR="0080706E">
        <w:rPr>
          <w:rFonts w:ascii="Times New Roman" w:hAnsi="Times New Roman"/>
          <w:sz w:val="24"/>
          <w:szCs w:val="24"/>
        </w:rPr>
        <w:t xml:space="preserve"> corrected and </w:t>
      </w:r>
      <w:r w:rsidR="009062E6">
        <w:rPr>
          <w:rFonts w:ascii="Times New Roman" w:hAnsi="Times New Roman"/>
          <w:sz w:val="24"/>
          <w:szCs w:val="24"/>
        </w:rPr>
        <w:t>contained</w:t>
      </w:r>
      <w:r w:rsidR="002617A8">
        <w:rPr>
          <w:rFonts w:ascii="Times New Roman" w:hAnsi="Times New Roman"/>
          <w:sz w:val="24"/>
          <w:szCs w:val="24"/>
        </w:rPr>
        <w:t xml:space="preserve">, </w:t>
      </w:r>
      <w:r w:rsidR="0080706E">
        <w:rPr>
          <w:rFonts w:ascii="Times New Roman" w:hAnsi="Times New Roman"/>
          <w:sz w:val="24"/>
          <w:szCs w:val="24"/>
        </w:rPr>
        <w:t xml:space="preserve">the organization </w:t>
      </w:r>
      <w:r w:rsidR="00B562FB">
        <w:rPr>
          <w:rFonts w:ascii="Times New Roman" w:hAnsi="Times New Roman"/>
          <w:sz w:val="24"/>
          <w:szCs w:val="24"/>
        </w:rPr>
        <w:t xml:space="preserve">should </w:t>
      </w:r>
      <w:r w:rsidR="002617A8">
        <w:rPr>
          <w:rFonts w:ascii="Times New Roman" w:hAnsi="Times New Roman"/>
          <w:sz w:val="24"/>
          <w:szCs w:val="24"/>
        </w:rPr>
        <w:t xml:space="preserve">consider what it can do to mitigate harm to the affected individuals.  For example, an organization may choose to contact </w:t>
      </w:r>
      <w:r w:rsidR="00B562FB">
        <w:rPr>
          <w:rFonts w:ascii="Times New Roman" w:hAnsi="Times New Roman"/>
          <w:sz w:val="24"/>
          <w:szCs w:val="24"/>
        </w:rPr>
        <w:t xml:space="preserve">patients immediately if </w:t>
      </w:r>
      <w:r w:rsidR="002617A8">
        <w:rPr>
          <w:rFonts w:ascii="Times New Roman" w:hAnsi="Times New Roman"/>
          <w:sz w:val="24"/>
          <w:szCs w:val="24"/>
        </w:rPr>
        <w:t>there is a real risk of identit</w:t>
      </w:r>
      <w:r w:rsidR="00B562FB">
        <w:rPr>
          <w:rFonts w:ascii="Times New Roman" w:hAnsi="Times New Roman"/>
          <w:sz w:val="24"/>
          <w:szCs w:val="24"/>
        </w:rPr>
        <w:t>y theft (</w:t>
      </w:r>
      <w:r w:rsidR="00B562FB" w:rsidRPr="00B562FB">
        <w:rPr>
          <w:rFonts w:ascii="Times New Roman" w:hAnsi="Times New Roman"/>
          <w:i/>
          <w:sz w:val="24"/>
          <w:szCs w:val="24"/>
        </w:rPr>
        <w:t>e.g.</w:t>
      </w:r>
      <w:r w:rsidR="00B562FB">
        <w:rPr>
          <w:rFonts w:ascii="Times New Roman" w:hAnsi="Times New Roman"/>
          <w:sz w:val="24"/>
          <w:szCs w:val="24"/>
        </w:rPr>
        <w:t>, credit card information was stolen).  The organization should also consider whether to contact law enforcement</w:t>
      </w:r>
      <w:r w:rsidR="0038771B">
        <w:rPr>
          <w:rFonts w:ascii="Times New Roman" w:hAnsi="Times New Roman"/>
          <w:sz w:val="24"/>
          <w:szCs w:val="24"/>
        </w:rPr>
        <w:t xml:space="preserve"> and </w:t>
      </w:r>
      <w:r w:rsidR="00B562FB">
        <w:rPr>
          <w:rFonts w:ascii="Times New Roman" w:hAnsi="Times New Roman"/>
          <w:sz w:val="24"/>
          <w:szCs w:val="24"/>
        </w:rPr>
        <w:t xml:space="preserve">whether it has </w:t>
      </w:r>
      <w:r w:rsidR="0080706E" w:rsidRPr="00217513">
        <w:rPr>
          <w:rFonts w:ascii="Times New Roman" w:hAnsi="Times New Roman"/>
          <w:sz w:val="24"/>
          <w:szCs w:val="24"/>
        </w:rPr>
        <w:t>insurance</w:t>
      </w:r>
      <w:r w:rsidR="00B562FB">
        <w:rPr>
          <w:rFonts w:ascii="Times New Roman" w:hAnsi="Times New Roman"/>
          <w:sz w:val="24"/>
          <w:szCs w:val="24"/>
        </w:rPr>
        <w:t xml:space="preserve"> to </w:t>
      </w:r>
      <w:r w:rsidR="0080706E">
        <w:rPr>
          <w:rFonts w:ascii="Times New Roman" w:hAnsi="Times New Roman"/>
          <w:sz w:val="24"/>
          <w:szCs w:val="24"/>
        </w:rPr>
        <w:t xml:space="preserve">cover the </w:t>
      </w:r>
      <w:r w:rsidR="0038771B">
        <w:rPr>
          <w:rFonts w:ascii="Times New Roman" w:hAnsi="Times New Roman"/>
          <w:sz w:val="24"/>
          <w:szCs w:val="24"/>
        </w:rPr>
        <w:t xml:space="preserve">data breach.  If it has insurance, </w:t>
      </w:r>
      <w:r w:rsidR="0080706E" w:rsidRPr="00217513">
        <w:rPr>
          <w:rFonts w:ascii="Times New Roman" w:hAnsi="Times New Roman"/>
          <w:sz w:val="24"/>
          <w:szCs w:val="24"/>
        </w:rPr>
        <w:t>review</w:t>
      </w:r>
      <w:r w:rsidR="0080706E">
        <w:rPr>
          <w:rFonts w:ascii="Times New Roman" w:hAnsi="Times New Roman"/>
          <w:sz w:val="24"/>
          <w:szCs w:val="24"/>
        </w:rPr>
        <w:t xml:space="preserve"> the</w:t>
      </w:r>
      <w:r w:rsidR="0080706E" w:rsidRPr="00217513">
        <w:rPr>
          <w:rFonts w:ascii="Times New Roman" w:hAnsi="Times New Roman"/>
          <w:sz w:val="24"/>
          <w:szCs w:val="24"/>
        </w:rPr>
        <w:t xml:space="preserve"> scope of </w:t>
      </w:r>
      <w:r w:rsidR="0080706E">
        <w:rPr>
          <w:rFonts w:ascii="Times New Roman" w:hAnsi="Times New Roman"/>
          <w:sz w:val="24"/>
          <w:szCs w:val="24"/>
        </w:rPr>
        <w:t>c</w:t>
      </w:r>
      <w:r w:rsidR="0080706E" w:rsidRPr="00217513">
        <w:rPr>
          <w:rFonts w:ascii="Times New Roman" w:hAnsi="Times New Roman"/>
          <w:sz w:val="24"/>
          <w:szCs w:val="24"/>
        </w:rPr>
        <w:t>ov</w:t>
      </w:r>
      <w:r w:rsidR="0080706E">
        <w:rPr>
          <w:rFonts w:ascii="Times New Roman" w:hAnsi="Times New Roman"/>
          <w:sz w:val="24"/>
          <w:szCs w:val="24"/>
        </w:rPr>
        <w:t>erage and provide proper notice to the carrier.</w:t>
      </w:r>
      <w:r w:rsidR="002617A8">
        <w:rPr>
          <w:rFonts w:ascii="Times New Roman" w:hAnsi="Times New Roman"/>
          <w:sz w:val="24"/>
          <w:szCs w:val="24"/>
        </w:rPr>
        <w:t xml:space="preserve">  </w:t>
      </w:r>
    </w:p>
    <w:p w:rsidR="0038771B" w:rsidRDefault="0038771B" w:rsidP="00217513">
      <w:pPr>
        <w:jc w:val="both"/>
        <w:rPr>
          <w:rFonts w:ascii="Times New Roman" w:hAnsi="Times New Roman"/>
          <w:sz w:val="24"/>
          <w:szCs w:val="24"/>
        </w:rPr>
      </w:pPr>
    </w:p>
    <w:p w:rsidR="00485BCD" w:rsidRDefault="002617A8" w:rsidP="00217513">
      <w:pPr>
        <w:jc w:val="both"/>
        <w:rPr>
          <w:rFonts w:ascii="Times New Roman" w:hAnsi="Times New Roman"/>
          <w:sz w:val="24"/>
          <w:szCs w:val="24"/>
        </w:rPr>
      </w:pPr>
      <w:r>
        <w:rPr>
          <w:rFonts w:ascii="Times New Roman" w:hAnsi="Times New Roman"/>
          <w:sz w:val="24"/>
          <w:szCs w:val="24"/>
        </w:rPr>
        <w:lastRenderedPageBreak/>
        <w:t xml:space="preserve">The </w:t>
      </w:r>
      <w:r w:rsidR="00B562FB">
        <w:rPr>
          <w:rFonts w:ascii="Times New Roman" w:hAnsi="Times New Roman"/>
          <w:sz w:val="24"/>
          <w:szCs w:val="24"/>
        </w:rPr>
        <w:t xml:space="preserve">organization </w:t>
      </w:r>
      <w:r>
        <w:rPr>
          <w:rFonts w:ascii="Times New Roman" w:hAnsi="Times New Roman"/>
          <w:sz w:val="24"/>
          <w:szCs w:val="24"/>
        </w:rPr>
        <w:t xml:space="preserve">then </w:t>
      </w:r>
      <w:r w:rsidR="00B562FB">
        <w:rPr>
          <w:rFonts w:ascii="Times New Roman" w:hAnsi="Times New Roman"/>
          <w:sz w:val="24"/>
          <w:szCs w:val="24"/>
        </w:rPr>
        <w:t>needs to</w:t>
      </w:r>
      <w:r>
        <w:rPr>
          <w:rFonts w:ascii="Times New Roman" w:hAnsi="Times New Roman"/>
          <w:sz w:val="24"/>
          <w:szCs w:val="24"/>
        </w:rPr>
        <w:t xml:space="preserve"> </w:t>
      </w:r>
      <w:r w:rsidR="00217513" w:rsidRPr="00217513">
        <w:rPr>
          <w:rFonts w:ascii="Times New Roman" w:hAnsi="Times New Roman"/>
          <w:sz w:val="24"/>
          <w:szCs w:val="24"/>
        </w:rPr>
        <w:t>consider</w:t>
      </w:r>
      <w:r w:rsidR="00485BCD">
        <w:rPr>
          <w:rFonts w:ascii="Times New Roman" w:hAnsi="Times New Roman"/>
          <w:sz w:val="24"/>
          <w:szCs w:val="24"/>
        </w:rPr>
        <w:t xml:space="preserve"> taking</w:t>
      </w:r>
      <w:r w:rsidR="00B562FB">
        <w:rPr>
          <w:rFonts w:ascii="Times New Roman" w:hAnsi="Times New Roman"/>
          <w:sz w:val="24"/>
          <w:szCs w:val="24"/>
        </w:rPr>
        <w:t xml:space="preserve"> additional </w:t>
      </w:r>
      <w:r w:rsidR="0038771B">
        <w:rPr>
          <w:rFonts w:ascii="Times New Roman" w:hAnsi="Times New Roman"/>
          <w:sz w:val="24"/>
          <w:szCs w:val="24"/>
        </w:rPr>
        <w:t xml:space="preserve">mitigation </w:t>
      </w:r>
      <w:r w:rsidR="00217513" w:rsidRPr="00217513">
        <w:rPr>
          <w:rFonts w:ascii="Times New Roman" w:hAnsi="Times New Roman"/>
          <w:sz w:val="24"/>
          <w:szCs w:val="24"/>
        </w:rPr>
        <w:t>steps</w:t>
      </w:r>
      <w:r w:rsidR="00B94429">
        <w:rPr>
          <w:rFonts w:ascii="Times New Roman" w:hAnsi="Times New Roman"/>
          <w:sz w:val="24"/>
          <w:szCs w:val="24"/>
        </w:rPr>
        <w:t xml:space="preserve"> – both short term and long term</w:t>
      </w:r>
      <w:r w:rsidR="00B562FB">
        <w:rPr>
          <w:rFonts w:ascii="Times New Roman" w:hAnsi="Times New Roman"/>
          <w:sz w:val="24"/>
          <w:szCs w:val="24"/>
        </w:rPr>
        <w:t xml:space="preserve"> – to </w:t>
      </w:r>
      <w:r>
        <w:rPr>
          <w:rFonts w:ascii="Times New Roman" w:hAnsi="Times New Roman"/>
          <w:sz w:val="24"/>
          <w:szCs w:val="24"/>
        </w:rPr>
        <w:t xml:space="preserve">minimize </w:t>
      </w:r>
      <w:r w:rsidR="0038771B">
        <w:rPr>
          <w:rFonts w:ascii="Times New Roman" w:hAnsi="Times New Roman"/>
          <w:sz w:val="24"/>
          <w:szCs w:val="24"/>
        </w:rPr>
        <w:t>the chance of the same type of</w:t>
      </w:r>
      <w:r w:rsidR="00B562FB">
        <w:rPr>
          <w:rFonts w:ascii="Times New Roman" w:hAnsi="Times New Roman"/>
          <w:sz w:val="24"/>
          <w:szCs w:val="24"/>
        </w:rPr>
        <w:t xml:space="preserve"> incident from occurring in the future</w:t>
      </w:r>
      <w:r w:rsidR="00B94429">
        <w:rPr>
          <w:rFonts w:ascii="Times New Roman" w:hAnsi="Times New Roman"/>
          <w:sz w:val="24"/>
          <w:szCs w:val="24"/>
        </w:rPr>
        <w:t xml:space="preserve">.  These steps can range from sanctioning an employee who acted improperly or negligently to sending organization-wide emails about security/cyber risks </w:t>
      </w:r>
      <w:r w:rsidR="0038771B">
        <w:rPr>
          <w:rFonts w:ascii="Times New Roman" w:hAnsi="Times New Roman"/>
          <w:sz w:val="24"/>
          <w:szCs w:val="24"/>
        </w:rPr>
        <w:t xml:space="preserve">to </w:t>
      </w:r>
      <w:r w:rsidR="00B94429">
        <w:rPr>
          <w:rFonts w:ascii="Times New Roman" w:hAnsi="Times New Roman"/>
          <w:sz w:val="24"/>
          <w:szCs w:val="24"/>
        </w:rPr>
        <w:t xml:space="preserve">retraining </w:t>
      </w:r>
      <w:r w:rsidR="0038771B">
        <w:rPr>
          <w:rFonts w:ascii="Times New Roman" w:hAnsi="Times New Roman"/>
          <w:sz w:val="24"/>
          <w:szCs w:val="24"/>
        </w:rPr>
        <w:t xml:space="preserve">the </w:t>
      </w:r>
      <w:r w:rsidR="00B94429">
        <w:rPr>
          <w:rFonts w:ascii="Times New Roman" w:hAnsi="Times New Roman"/>
          <w:sz w:val="24"/>
          <w:szCs w:val="24"/>
        </w:rPr>
        <w:t xml:space="preserve">workforce to reviewing and revising applicable policies and procedures to </w:t>
      </w:r>
      <w:r w:rsidR="0038771B">
        <w:rPr>
          <w:rFonts w:ascii="Times New Roman" w:hAnsi="Times New Roman"/>
          <w:sz w:val="24"/>
          <w:szCs w:val="24"/>
        </w:rPr>
        <w:t xml:space="preserve">updating the organization’s </w:t>
      </w:r>
      <w:r w:rsidR="009062E6">
        <w:rPr>
          <w:rFonts w:ascii="Times New Roman" w:hAnsi="Times New Roman"/>
          <w:sz w:val="24"/>
          <w:szCs w:val="24"/>
        </w:rPr>
        <w:t>risk analysi</w:t>
      </w:r>
      <w:r w:rsidR="00B94429">
        <w:rPr>
          <w:rFonts w:ascii="Times New Roman" w:hAnsi="Times New Roman"/>
          <w:sz w:val="24"/>
          <w:szCs w:val="24"/>
        </w:rPr>
        <w:t>s and risk management</w:t>
      </w:r>
      <w:r w:rsidR="0038771B">
        <w:rPr>
          <w:rFonts w:ascii="Times New Roman" w:hAnsi="Times New Roman"/>
          <w:sz w:val="24"/>
          <w:szCs w:val="24"/>
        </w:rPr>
        <w:t xml:space="preserve"> plan</w:t>
      </w:r>
      <w:r w:rsidR="009062E6">
        <w:rPr>
          <w:rFonts w:ascii="Times New Roman" w:hAnsi="Times New Roman"/>
          <w:sz w:val="24"/>
          <w:szCs w:val="24"/>
        </w:rPr>
        <w:t>.</w:t>
      </w:r>
      <w:r w:rsidR="0038771B">
        <w:rPr>
          <w:rFonts w:ascii="Times New Roman" w:hAnsi="Times New Roman"/>
          <w:sz w:val="24"/>
          <w:szCs w:val="24"/>
        </w:rPr>
        <w:t xml:space="preserve">  </w:t>
      </w:r>
      <w:r w:rsidR="009062E6">
        <w:rPr>
          <w:rFonts w:ascii="Times New Roman" w:hAnsi="Times New Roman"/>
          <w:sz w:val="24"/>
          <w:szCs w:val="24"/>
        </w:rPr>
        <w:t xml:space="preserve"> </w:t>
      </w:r>
    </w:p>
    <w:p w:rsidR="00485BCD" w:rsidRDefault="00485BCD" w:rsidP="00217513">
      <w:pPr>
        <w:jc w:val="both"/>
        <w:rPr>
          <w:rFonts w:ascii="Times New Roman" w:hAnsi="Times New Roman"/>
          <w:sz w:val="24"/>
          <w:szCs w:val="24"/>
        </w:rPr>
      </w:pPr>
    </w:p>
    <w:p w:rsidR="00217513" w:rsidRDefault="00485BCD" w:rsidP="004841A9">
      <w:pPr>
        <w:jc w:val="both"/>
      </w:pPr>
      <w:r w:rsidRPr="00DB0003">
        <w:rPr>
          <w:rFonts w:ascii="Times New Roman" w:hAnsi="Times New Roman"/>
          <w:b/>
          <w:sz w:val="24"/>
          <w:szCs w:val="24"/>
        </w:rPr>
        <w:t>PRACTICAL TIP:</w:t>
      </w:r>
      <w:r w:rsidR="0038771B">
        <w:rPr>
          <w:rFonts w:ascii="Times New Roman" w:hAnsi="Times New Roman"/>
          <w:sz w:val="24"/>
          <w:szCs w:val="24"/>
        </w:rPr>
        <w:t xml:space="preserve">  If the data breach affected more than 500 individuals, your organization will likely </w:t>
      </w:r>
      <w:r w:rsidR="004841A9">
        <w:rPr>
          <w:rFonts w:ascii="Times New Roman" w:hAnsi="Times New Roman"/>
          <w:sz w:val="24"/>
          <w:szCs w:val="24"/>
        </w:rPr>
        <w:t>be subject to a compliance review by the Office for Civil Rights (OCR)</w:t>
      </w:r>
      <w:r w:rsidR="0038771B">
        <w:rPr>
          <w:rFonts w:ascii="Times New Roman" w:hAnsi="Times New Roman"/>
          <w:sz w:val="24"/>
          <w:szCs w:val="24"/>
        </w:rPr>
        <w:t xml:space="preserve">, </w:t>
      </w:r>
      <w:r w:rsidR="004841A9">
        <w:rPr>
          <w:rFonts w:ascii="Times New Roman" w:hAnsi="Times New Roman"/>
          <w:sz w:val="24"/>
          <w:szCs w:val="24"/>
        </w:rPr>
        <w:t>so be sure to m</w:t>
      </w:r>
      <w:r>
        <w:rPr>
          <w:rFonts w:ascii="Times New Roman" w:hAnsi="Times New Roman"/>
          <w:sz w:val="24"/>
          <w:szCs w:val="24"/>
        </w:rPr>
        <w:t>aintain thorough documentation of both your internal investigation</w:t>
      </w:r>
      <w:r w:rsidR="004841A9">
        <w:rPr>
          <w:rFonts w:ascii="Times New Roman" w:hAnsi="Times New Roman"/>
          <w:sz w:val="24"/>
          <w:szCs w:val="24"/>
        </w:rPr>
        <w:t xml:space="preserve"> into the incident</w:t>
      </w:r>
      <w:r>
        <w:rPr>
          <w:rFonts w:ascii="Times New Roman" w:hAnsi="Times New Roman"/>
          <w:sz w:val="24"/>
          <w:szCs w:val="24"/>
        </w:rPr>
        <w:t xml:space="preserve"> and any </w:t>
      </w:r>
      <w:r w:rsidR="004841A9">
        <w:rPr>
          <w:rFonts w:ascii="Times New Roman" w:hAnsi="Times New Roman"/>
          <w:sz w:val="24"/>
          <w:szCs w:val="24"/>
        </w:rPr>
        <w:t xml:space="preserve">subsequent </w:t>
      </w:r>
      <w:r>
        <w:rPr>
          <w:rFonts w:ascii="Times New Roman" w:hAnsi="Times New Roman"/>
          <w:sz w:val="24"/>
          <w:szCs w:val="24"/>
        </w:rPr>
        <w:t>mitigation steps</w:t>
      </w:r>
      <w:r w:rsidR="004841A9">
        <w:rPr>
          <w:rFonts w:ascii="Times New Roman" w:hAnsi="Times New Roman"/>
          <w:sz w:val="24"/>
          <w:szCs w:val="24"/>
        </w:rPr>
        <w:t>.</w:t>
      </w:r>
      <w:r w:rsidR="00B562FB">
        <w:rPr>
          <w:rFonts w:ascii="Times New Roman" w:hAnsi="Times New Roman"/>
          <w:sz w:val="24"/>
          <w:szCs w:val="24"/>
        </w:rPr>
        <w:t xml:space="preserve">  We have found that creating a timeline of the event</w:t>
      </w:r>
      <w:r w:rsidR="0038771B">
        <w:rPr>
          <w:rFonts w:ascii="Times New Roman" w:hAnsi="Times New Roman"/>
          <w:sz w:val="24"/>
          <w:szCs w:val="24"/>
        </w:rPr>
        <w:t>s</w:t>
      </w:r>
      <w:r w:rsidR="00B562FB">
        <w:rPr>
          <w:rFonts w:ascii="Times New Roman" w:hAnsi="Times New Roman"/>
          <w:sz w:val="24"/>
          <w:szCs w:val="24"/>
        </w:rPr>
        <w:t xml:space="preserve"> </w:t>
      </w:r>
      <w:r w:rsidR="0038771B">
        <w:rPr>
          <w:rFonts w:ascii="Times New Roman" w:hAnsi="Times New Roman"/>
          <w:sz w:val="24"/>
          <w:szCs w:val="24"/>
        </w:rPr>
        <w:t xml:space="preserve">is helpful and can serve well in preparing a response to OCR’s data request about the incident.  </w:t>
      </w:r>
    </w:p>
    <w:p w:rsidR="00217513" w:rsidRDefault="00217513"/>
    <w:p w:rsidR="007B5EC8" w:rsidRPr="007B5EC8" w:rsidRDefault="00412390" w:rsidP="00F02717">
      <w:pPr>
        <w:spacing w:after="240"/>
        <w:jc w:val="both"/>
        <w:rPr>
          <w:rFonts w:ascii="Times New Roman" w:hAnsi="Times New Roman"/>
          <w:b/>
          <w:sz w:val="24"/>
          <w:szCs w:val="24"/>
        </w:rPr>
      </w:pPr>
      <w:r>
        <w:rPr>
          <w:rFonts w:ascii="Times New Roman" w:hAnsi="Times New Roman"/>
          <w:b/>
          <w:sz w:val="24"/>
          <w:szCs w:val="24"/>
        </w:rPr>
        <w:t>II</w:t>
      </w:r>
      <w:r w:rsidR="00D87226">
        <w:rPr>
          <w:rFonts w:ascii="Times New Roman" w:hAnsi="Times New Roman"/>
          <w:b/>
          <w:sz w:val="24"/>
          <w:szCs w:val="24"/>
        </w:rPr>
        <w:t>.</w:t>
      </w:r>
      <w:r w:rsidR="00D87226">
        <w:rPr>
          <w:rFonts w:ascii="Times New Roman" w:hAnsi="Times New Roman"/>
          <w:b/>
          <w:sz w:val="24"/>
          <w:szCs w:val="24"/>
        </w:rPr>
        <w:tab/>
      </w:r>
      <w:r w:rsidR="007B5EC8" w:rsidRPr="007B5EC8">
        <w:rPr>
          <w:rFonts w:ascii="Times New Roman" w:hAnsi="Times New Roman"/>
          <w:b/>
          <w:sz w:val="24"/>
          <w:szCs w:val="24"/>
          <w:u w:val="single"/>
        </w:rPr>
        <w:t>Breach Analysis</w:t>
      </w:r>
      <w:r w:rsidR="005C4BCD">
        <w:rPr>
          <w:rFonts w:ascii="Times New Roman" w:hAnsi="Times New Roman"/>
          <w:b/>
          <w:sz w:val="24"/>
          <w:szCs w:val="24"/>
          <w:u w:val="single"/>
        </w:rPr>
        <w:t>/Reporting Under HIPAA</w:t>
      </w:r>
    </w:p>
    <w:p w:rsidR="005C4BCD" w:rsidRDefault="002719FB" w:rsidP="00F02717">
      <w:pPr>
        <w:spacing w:after="240"/>
        <w:jc w:val="both"/>
        <w:rPr>
          <w:rFonts w:ascii="Times New Roman" w:hAnsi="Times New Roman"/>
          <w:sz w:val="24"/>
          <w:szCs w:val="24"/>
        </w:rPr>
      </w:pPr>
      <w:r>
        <w:rPr>
          <w:rFonts w:ascii="Times New Roman" w:hAnsi="Times New Roman"/>
          <w:sz w:val="24"/>
          <w:szCs w:val="24"/>
        </w:rPr>
        <w:t>Once you get through the initial phase of identifying the issue</w:t>
      </w:r>
      <w:r w:rsidR="00957612">
        <w:rPr>
          <w:rFonts w:ascii="Times New Roman" w:hAnsi="Times New Roman"/>
          <w:sz w:val="24"/>
          <w:szCs w:val="24"/>
        </w:rPr>
        <w:t xml:space="preserve"> and taking steps to mitigate the harm, you must consider your other legal obligations.  </w:t>
      </w:r>
      <w:r w:rsidR="00761DE4">
        <w:rPr>
          <w:rFonts w:ascii="Times New Roman" w:hAnsi="Times New Roman"/>
          <w:sz w:val="24"/>
          <w:szCs w:val="24"/>
        </w:rPr>
        <w:t xml:space="preserve">Assuming your organization </w:t>
      </w:r>
      <w:r w:rsidR="00761DE4" w:rsidRPr="00F02717">
        <w:rPr>
          <w:rFonts w:ascii="Times New Roman" w:hAnsi="Times New Roman"/>
          <w:sz w:val="24"/>
          <w:szCs w:val="24"/>
        </w:rPr>
        <w:t>meets the definition of a “Covered Entity”</w:t>
      </w:r>
      <w:r w:rsidR="00761DE4">
        <w:rPr>
          <w:rFonts w:ascii="Times New Roman" w:hAnsi="Times New Roman"/>
          <w:sz w:val="24"/>
          <w:szCs w:val="24"/>
        </w:rPr>
        <w:t xml:space="preserve"> or a “Business Associate”</w:t>
      </w:r>
      <w:r w:rsidR="00761DE4" w:rsidRPr="00F02717">
        <w:rPr>
          <w:rFonts w:ascii="Times New Roman" w:hAnsi="Times New Roman"/>
          <w:sz w:val="24"/>
          <w:szCs w:val="24"/>
        </w:rPr>
        <w:t xml:space="preserve"> under the Health Insurance Portability and Accountability Act and its implementing regulations (“HIPAA”)</w:t>
      </w:r>
      <w:r w:rsidR="00761DE4">
        <w:rPr>
          <w:rFonts w:ascii="Times New Roman" w:hAnsi="Times New Roman"/>
          <w:sz w:val="24"/>
          <w:szCs w:val="24"/>
        </w:rPr>
        <w:t xml:space="preserve">, you must comply </w:t>
      </w:r>
      <w:r w:rsidR="00957612">
        <w:rPr>
          <w:rFonts w:ascii="Times New Roman" w:hAnsi="Times New Roman"/>
          <w:sz w:val="24"/>
          <w:szCs w:val="24"/>
        </w:rPr>
        <w:t xml:space="preserve">with </w:t>
      </w:r>
      <w:r w:rsidR="00761DE4" w:rsidRPr="00F02717">
        <w:rPr>
          <w:rFonts w:ascii="Times New Roman" w:hAnsi="Times New Roman"/>
          <w:sz w:val="24"/>
          <w:szCs w:val="24"/>
        </w:rPr>
        <w:t>the HIPAA Breach Notification Rule, 45 C.F.R. §§ 164.400-414.</w:t>
      </w:r>
      <w:r w:rsidR="00761DE4" w:rsidRPr="00F02717">
        <w:rPr>
          <w:rStyle w:val="FootnoteReference"/>
          <w:rFonts w:ascii="Times New Roman" w:hAnsi="Times New Roman"/>
          <w:sz w:val="24"/>
          <w:szCs w:val="24"/>
        </w:rPr>
        <w:footnoteReference w:id="1"/>
      </w:r>
      <w:r w:rsidR="005C4BCD">
        <w:rPr>
          <w:rFonts w:ascii="Times New Roman" w:hAnsi="Times New Roman"/>
          <w:sz w:val="24"/>
          <w:szCs w:val="24"/>
        </w:rPr>
        <w:t xml:space="preserve">  </w:t>
      </w:r>
      <w:r w:rsidR="00787B6A" w:rsidRPr="00F02717">
        <w:rPr>
          <w:rFonts w:ascii="Times New Roman" w:hAnsi="Times New Roman"/>
          <w:sz w:val="24"/>
          <w:szCs w:val="24"/>
        </w:rPr>
        <w:t xml:space="preserve">Under </w:t>
      </w:r>
      <w:r w:rsidR="00990C06" w:rsidRPr="00F02717">
        <w:rPr>
          <w:rFonts w:ascii="Times New Roman" w:hAnsi="Times New Roman"/>
          <w:sz w:val="24"/>
          <w:szCs w:val="24"/>
        </w:rPr>
        <w:t>the HIPAA Breach Notification</w:t>
      </w:r>
      <w:r w:rsidR="00F62619" w:rsidRPr="00F02717">
        <w:rPr>
          <w:rFonts w:ascii="Times New Roman" w:hAnsi="Times New Roman"/>
          <w:sz w:val="24"/>
          <w:szCs w:val="24"/>
        </w:rPr>
        <w:t xml:space="preserve"> Rule</w:t>
      </w:r>
      <w:r w:rsidR="00EA5701" w:rsidRPr="00F02717">
        <w:rPr>
          <w:rFonts w:ascii="Times New Roman" w:hAnsi="Times New Roman"/>
          <w:sz w:val="24"/>
          <w:szCs w:val="24"/>
        </w:rPr>
        <w:t>,</w:t>
      </w:r>
      <w:r w:rsidR="00990C06" w:rsidRPr="00F02717">
        <w:rPr>
          <w:rFonts w:ascii="Times New Roman" w:hAnsi="Times New Roman"/>
          <w:sz w:val="24"/>
          <w:szCs w:val="24"/>
        </w:rPr>
        <w:t xml:space="preserve"> </w:t>
      </w:r>
      <w:r w:rsidR="00787B6A" w:rsidRPr="00F02717">
        <w:rPr>
          <w:rFonts w:ascii="Times New Roman" w:hAnsi="Times New Roman"/>
          <w:sz w:val="24"/>
          <w:szCs w:val="24"/>
        </w:rPr>
        <w:t>a Covered Entity</w:t>
      </w:r>
      <w:r w:rsidR="003B71B2" w:rsidRPr="00F02717">
        <w:rPr>
          <w:rFonts w:ascii="Times New Roman" w:hAnsi="Times New Roman"/>
          <w:sz w:val="24"/>
          <w:szCs w:val="24"/>
        </w:rPr>
        <w:t xml:space="preserve"> </w:t>
      </w:r>
      <w:r w:rsidR="00787B6A" w:rsidRPr="00F02717">
        <w:rPr>
          <w:rFonts w:ascii="Times New Roman" w:hAnsi="Times New Roman"/>
          <w:sz w:val="24"/>
          <w:szCs w:val="24"/>
        </w:rPr>
        <w:t xml:space="preserve">is required </w:t>
      </w:r>
      <w:r w:rsidR="00990C06" w:rsidRPr="00F02717">
        <w:rPr>
          <w:rFonts w:ascii="Times New Roman" w:hAnsi="Times New Roman"/>
          <w:sz w:val="24"/>
          <w:szCs w:val="24"/>
        </w:rPr>
        <w:t>to provide notification following a Breach of Unsecured</w:t>
      </w:r>
      <w:r w:rsidR="00787B6A" w:rsidRPr="00F02717">
        <w:rPr>
          <w:rFonts w:ascii="Times New Roman" w:hAnsi="Times New Roman"/>
          <w:sz w:val="24"/>
          <w:szCs w:val="24"/>
        </w:rPr>
        <w:t xml:space="preserve"> </w:t>
      </w:r>
      <w:r w:rsidR="00990C06" w:rsidRPr="00F02717">
        <w:rPr>
          <w:rFonts w:ascii="Times New Roman" w:hAnsi="Times New Roman"/>
          <w:sz w:val="24"/>
          <w:szCs w:val="24"/>
        </w:rPr>
        <w:t>P</w:t>
      </w:r>
      <w:r w:rsidR="005052EB" w:rsidRPr="00F02717">
        <w:rPr>
          <w:rFonts w:ascii="Times New Roman" w:hAnsi="Times New Roman"/>
          <w:sz w:val="24"/>
          <w:szCs w:val="24"/>
        </w:rPr>
        <w:t xml:space="preserve">rotected </w:t>
      </w:r>
      <w:r w:rsidR="00990C06" w:rsidRPr="00F02717">
        <w:rPr>
          <w:rFonts w:ascii="Times New Roman" w:hAnsi="Times New Roman"/>
          <w:sz w:val="24"/>
          <w:szCs w:val="24"/>
        </w:rPr>
        <w:t>H</w:t>
      </w:r>
      <w:r w:rsidR="005052EB" w:rsidRPr="00F02717">
        <w:rPr>
          <w:rFonts w:ascii="Times New Roman" w:hAnsi="Times New Roman"/>
          <w:sz w:val="24"/>
          <w:szCs w:val="24"/>
        </w:rPr>
        <w:t xml:space="preserve">ealth </w:t>
      </w:r>
      <w:r w:rsidR="00990C06" w:rsidRPr="00F02717">
        <w:rPr>
          <w:rFonts w:ascii="Times New Roman" w:hAnsi="Times New Roman"/>
          <w:sz w:val="24"/>
          <w:szCs w:val="24"/>
        </w:rPr>
        <w:t>I</w:t>
      </w:r>
      <w:r w:rsidR="005052EB" w:rsidRPr="00F02717">
        <w:rPr>
          <w:rFonts w:ascii="Times New Roman" w:hAnsi="Times New Roman"/>
          <w:sz w:val="24"/>
          <w:szCs w:val="24"/>
        </w:rPr>
        <w:t>nformation (“PHI”)</w:t>
      </w:r>
      <w:r w:rsidR="00990C06" w:rsidRPr="00F02717">
        <w:rPr>
          <w:rFonts w:ascii="Times New Roman" w:hAnsi="Times New Roman"/>
          <w:sz w:val="24"/>
          <w:szCs w:val="24"/>
        </w:rPr>
        <w:t>.</w:t>
      </w:r>
      <w:r w:rsidR="00787B6A" w:rsidRPr="00F02717">
        <w:rPr>
          <w:rFonts w:ascii="Times New Roman" w:hAnsi="Times New Roman"/>
          <w:sz w:val="24"/>
          <w:szCs w:val="24"/>
          <w:vertAlign w:val="superscript"/>
        </w:rPr>
        <w:footnoteReference w:id="2"/>
      </w:r>
      <w:r w:rsidR="00787B6A" w:rsidRPr="00F02717">
        <w:rPr>
          <w:rFonts w:ascii="Times New Roman" w:hAnsi="Times New Roman"/>
          <w:sz w:val="24"/>
          <w:szCs w:val="24"/>
        </w:rPr>
        <w:t xml:space="preserve">  </w:t>
      </w:r>
    </w:p>
    <w:p w:rsidR="00082C09" w:rsidRDefault="00990C06" w:rsidP="002719FB">
      <w:pPr>
        <w:spacing w:after="240"/>
        <w:jc w:val="both"/>
        <w:rPr>
          <w:rFonts w:ascii="Times New Roman" w:hAnsi="Times New Roman"/>
          <w:b/>
          <w:sz w:val="24"/>
          <w:szCs w:val="24"/>
        </w:rPr>
      </w:pPr>
      <w:r w:rsidRPr="00F02717">
        <w:rPr>
          <w:rFonts w:ascii="Times New Roman" w:hAnsi="Times New Roman"/>
          <w:sz w:val="24"/>
          <w:szCs w:val="24"/>
        </w:rPr>
        <w:t xml:space="preserve">A Breach is defined as the </w:t>
      </w:r>
      <w:r w:rsidR="00F02717">
        <w:rPr>
          <w:rFonts w:ascii="Times New Roman" w:hAnsi="Times New Roman"/>
          <w:sz w:val="24"/>
          <w:szCs w:val="24"/>
        </w:rPr>
        <w:t>“</w:t>
      </w:r>
      <w:r w:rsidRPr="00730489">
        <w:rPr>
          <w:rFonts w:ascii="Times New Roman" w:hAnsi="Times New Roman"/>
          <w:b/>
          <w:i/>
          <w:sz w:val="24"/>
          <w:szCs w:val="24"/>
        </w:rPr>
        <w:t xml:space="preserve">acquisition, access, use or disclosure of PHI in a manner not permitted by the </w:t>
      </w:r>
      <w:r w:rsidR="00787B6A" w:rsidRPr="00730489">
        <w:rPr>
          <w:rFonts w:ascii="Times New Roman" w:hAnsi="Times New Roman"/>
          <w:b/>
          <w:i/>
          <w:sz w:val="24"/>
          <w:szCs w:val="24"/>
        </w:rPr>
        <w:t xml:space="preserve">HIPAA </w:t>
      </w:r>
      <w:r w:rsidRPr="00730489">
        <w:rPr>
          <w:rFonts w:ascii="Times New Roman" w:hAnsi="Times New Roman"/>
          <w:b/>
          <w:i/>
          <w:sz w:val="24"/>
          <w:szCs w:val="24"/>
        </w:rPr>
        <w:t>Privacy Rule which compromises the security or privacy of such information</w:t>
      </w:r>
      <w:r w:rsidR="002719FB">
        <w:rPr>
          <w:rFonts w:ascii="Times New Roman" w:hAnsi="Times New Roman"/>
          <w:b/>
          <w:i/>
          <w:sz w:val="24"/>
          <w:szCs w:val="24"/>
        </w:rPr>
        <w:t>.</w:t>
      </w:r>
      <w:r w:rsidR="00730489">
        <w:rPr>
          <w:rFonts w:ascii="Times New Roman" w:hAnsi="Times New Roman"/>
          <w:sz w:val="24"/>
          <w:szCs w:val="24"/>
        </w:rPr>
        <w:t>”</w:t>
      </w:r>
      <w:r w:rsidR="00957612" w:rsidRPr="00957612">
        <w:rPr>
          <w:rFonts w:ascii="Times New Roman" w:hAnsi="Times New Roman"/>
          <w:sz w:val="20"/>
        </w:rPr>
        <w:t xml:space="preserve"> </w:t>
      </w:r>
      <w:r w:rsidR="00957612" w:rsidRPr="00957612">
        <w:rPr>
          <w:rFonts w:ascii="Times New Roman" w:hAnsi="Times New Roman"/>
          <w:sz w:val="24"/>
          <w:szCs w:val="24"/>
        </w:rPr>
        <w:t>There are three exceptions to the definition of Breach, but they are limited</w:t>
      </w:r>
      <w:r w:rsidR="00957612">
        <w:rPr>
          <w:rFonts w:ascii="Times New Roman" w:hAnsi="Times New Roman"/>
          <w:sz w:val="24"/>
          <w:szCs w:val="24"/>
        </w:rPr>
        <w:t xml:space="preserve"> and rarely apply in the context of a large data breach or cyber-attack.</w:t>
      </w:r>
      <w:r w:rsidR="002719FB">
        <w:rPr>
          <w:rStyle w:val="FootnoteReference"/>
          <w:rFonts w:ascii="Times New Roman" w:hAnsi="Times New Roman"/>
          <w:sz w:val="24"/>
          <w:szCs w:val="24"/>
        </w:rPr>
        <w:footnoteReference w:id="3"/>
      </w:r>
      <w:r w:rsidR="005C4BCD">
        <w:rPr>
          <w:rFonts w:ascii="Times New Roman" w:hAnsi="Times New Roman"/>
          <w:sz w:val="24"/>
          <w:szCs w:val="24"/>
        </w:rPr>
        <w:t xml:space="preserve">  </w:t>
      </w:r>
    </w:p>
    <w:p w:rsidR="00F02717" w:rsidRDefault="00730489" w:rsidP="00F02717">
      <w:pPr>
        <w:jc w:val="both"/>
        <w:rPr>
          <w:rFonts w:ascii="Times New Roman" w:hAnsi="Times New Roman"/>
          <w:sz w:val="24"/>
          <w:szCs w:val="24"/>
        </w:rPr>
      </w:pPr>
      <w:r>
        <w:rPr>
          <w:rFonts w:ascii="Times New Roman" w:hAnsi="Times New Roman"/>
          <w:sz w:val="24"/>
          <w:szCs w:val="24"/>
        </w:rPr>
        <w:lastRenderedPageBreak/>
        <w:t>Assuming you</w:t>
      </w:r>
      <w:r w:rsidR="007B5EC8">
        <w:rPr>
          <w:rFonts w:ascii="Times New Roman" w:hAnsi="Times New Roman"/>
          <w:sz w:val="24"/>
          <w:szCs w:val="24"/>
        </w:rPr>
        <w:t>r organization has had an impermissible</w:t>
      </w:r>
      <w:r>
        <w:rPr>
          <w:rFonts w:ascii="Times New Roman" w:hAnsi="Times New Roman"/>
          <w:sz w:val="24"/>
          <w:szCs w:val="24"/>
        </w:rPr>
        <w:t xml:space="preserve"> </w:t>
      </w:r>
      <w:r w:rsidR="007B5EC8" w:rsidRPr="007B5EC8">
        <w:rPr>
          <w:rFonts w:ascii="Times New Roman" w:hAnsi="Times New Roman"/>
          <w:sz w:val="24"/>
          <w:szCs w:val="24"/>
        </w:rPr>
        <w:t>acquisition, access, use or disclosure of PHI</w:t>
      </w:r>
      <w:r w:rsidR="007B5EC8">
        <w:rPr>
          <w:rFonts w:ascii="Times New Roman" w:hAnsi="Times New Roman"/>
          <w:sz w:val="24"/>
          <w:szCs w:val="24"/>
        </w:rPr>
        <w:t xml:space="preserve"> that does not meet one of the Breach exceptions, the incident is </w:t>
      </w:r>
      <w:r w:rsidR="007B5EC8" w:rsidRPr="007B5EC8">
        <w:rPr>
          <w:rFonts w:ascii="Times New Roman" w:hAnsi="Times New Roman"/>
          <w:b/>
          <w:i/>
          <w:sz w:val="24"/>
          <w:szCs w:val="24"/>
        </w:rPr>
        <w:t>presumed</w:t>
      </w:r>
      <w:r w:rsidR="007B5EC8">
        <w:rPr>
          <w:rFonts w:ascii="Times New Roman" w:hAnsi="Times New Roman"/>
          <w:sz w:val="24"/>
          <w:szCs w:val="24"/>
        </w:rPr>
        <w:t xml:space="preserve"> to be a Breach requiring notification unless you </w:t>
      </w:r>
      <w:r w:rsidR="00F02717" w:rsidRPr="00F02717">
        <w:rPr>
          <w:rFonts w:ascii="Times New Roman" w:hAnsi="Times New Roman"/>
          <w:sz w:val="24"/>
          <w:szCs w:val="24"/>
        </w:rPr>
        <w:t xml:space="preserve">can demonstrate </w:t>
      </w:r>
      <w:r w:rsidR="00082C09">
        <w:rPr>
          <w:rFonts w:ascii="Times New Roman" w:hAnsi="Times New Roman"/>
          <w:sz w:val="24"/>
          <w:szCs w:val="24"/>
        </w:rPr>
        <w:t xml:space="preserve">through a written risk assessment </w:t>
      </w:r>
      <w:r w:rsidR="00F02717" w:rsidRPr="00F02717">
        <w:rPr>
          <w:rFonts w:ascii="Times New Roman" w:hAnsi="Times New Roman"/>
          <w:sz w:val="24"/>
          <w:szCs w:val="24"/>
        </w:rPr>
        <w:t xml:space="preserve">that there is a </w:t>
      </w:r>
      <w:r w:rsidR="00082C09" w:rsidRPr="007B5EC8">
        <w:rPr>
          <w:rFonts w:ascii="Times New Roman" w:hAnsi="Times New Roman"/>
          <w:sz w:val="24"/>
          <w:szCs w:val="24"/>
        </w:rPr>
        <w:t>“</w:t>
      </w:r>
      <w:r w:rsidR="00F02717" w:rsidRPr="007B5EC8">
        <w:rPr>
          <w:rFonts w:ascii="Times New Roman" w:hAnsi="Times New Roman"/>
          <w:sz w:val="24"/>
          <w:szCs w:val="24"/>
          <w:u w:val="single"/>
        </w:rPr>
        <w:t>low probability that the PHI has been compromised</w:t>
      </w:r>
      <w:r w:rsidR="00082C09" w:rsidRPr="007B5EC8">
        <w:rPr>
          <w:rFonts w:ascii="Times New Roman" w:hAnsi="Times New Roman"/>
          <w:sz w:val="24"/>
          <w:szCs w:val="24"/>
        </w:rPr>
        <w:t>”</w:t>
      </w:r>
      <w:r w:rsidR="00082C09">
        <w:rPr>
          <w:rFonts w:ascii="Times New Roman" w:hAnsi="Times New Roman"/>
          <w:b/>
          <w:i/>
          <w:sz w:val="24"/>
          <w:szCs w:val="24"/>
        </w:rPr>
        <w:t xml:space="preserve"> </w:t>
      </w:r>
      <w:r w:rsidR="00F02717" w:rsidRPr="00F02717">
        <w:rPr>
          <w:rFonts w:ascii="Times New Roman" w:hAnsi="Times New Roman"/>
          <w:sz w:val="24"/>
          <w:szCs w:val="24"/>
        </w:rPr>
        <w:t xml:space="preserve">based on </w:t>
      </w:r>
      <w:r w:rsidR="00082C09">
        <w:rPr>
          <w:rFonts w:ascii="Times New Roman" w:hAnsi="Times New Roman"/>
          <w:sz w:val="24"/>
          <w:szCs w:val="24"/>
        </w:rPr>
        <w:t xml:space="preserve">the following </w:t>
      </w:r>
      <w:r w:rsidR="00F02717" w:rsidRPr="00F02717">
        <w:rPr>
          <w:rFonts w:ascii="Times New Roman" w:hAnsi="Times New Roman"/>
          <w:sz w:val="24"/>
          <w:szCs w:val="24"/>
        </w:rPr>
        <w:t>four factors:</w:t>
      </w:r>
    </w:p>
    <w:p w:rsidR="00082C09" w:rsidRPr="00F02717" w:rsidRDefault="00082C09" w:rsidP="00F02717">
      <w:pPr>
        <w:jc w:val="both"/>
        <w:rPr>
          <w:rFonts w:ascii="Times New Roman" w:hAnsi="Times New Roman"/>
          <w:sz w:val="24"/>
          <w:szCs w:val="24"/>
        </w:rPr>
      </w:pPr>
    </w:p>
    <w:p w:rsidR="001A6ED1" w:rsidRDefault="00F02717" w:rsidP="00082C09">
      <w:pPr>
        <w:pStyle w:val="ListParagraph"/>
        <w:numPr>
          <w:ilvl w:val="1"/>
          <w:numId w:val="25"/>
        </w:numPr>
        <w:ind w:left="720" w:right="720"/>
        <w:rPr>
          <w:rFonts w:ascii="Times New Roman" w:hAnsi="Times New Roman"/>
          <w:sz w:val="24"/>
          <w:szCs w:val="24"/>
        </w:rPr>
      </w:pPr>
      <w:r w:rsidRPr="001A6ED1">
        <w:rPr>
          <w:rFonts w:ascii="Times New Roman" w:hAnsi="Times New Roman"/>
          <w:sz w:val="24"/>
          <w:szCs w:val="24"/>
        </w:rPr>
        <w:t>The nature and extent of the PHI involved, inc</w:t>
      </w:r>
      <w:r w:rsidR="00184B13" w:rsidRPr="001A6ED1">
        <w:rPr>
          <w:rFonts w:ascii="Times New Roman" w:hAnsi="Times New Roman"/>
          <w:sz w:val="24"/>
          <w:szCs w:val="24"/>
        </w:rPr>
        <w:t>luding the types of identifiers</w:t>
      </w:r>
      <w:r w:rsidR="001A6ED1">
        <w:rPr>
          <w:rFonts w:ascii="Times New Roman" w:hAnsi="Times New Roman"/>
          <w:sz w:val="24"/>
          <w:szCs w:val="24"/>
        </w:rPr>
        <w:t xml:space="preserve"> </w:t>
      </w:r>
      <w:r w:rsidRPr="001A6ED1">
        <w:rPr>
          <w:rFonts w:ascii="Times New Roman" w:hAnsi="Times New Roman"/>
          <w:sz w:val="24"/>
          <w:szCs w:val="24"/>
        </w:rPr>
        <w:t xml:space="preserve">and likelihood of re-identification; </w:t>
      </w:r>
    </w:p>
    <w:p w:rsidR="001A6ED1" w:rsidRPr="001A6ED1" w:rsidRDefault="001A6ED1" w:rsidP="001A6ED1">
      <w:pPr>
        <w:ind w:right="720"/>
        <w:rPr>
          <w:rFonts w:ascii="Times New Roman" w:hAnsi="Times New Roman"/>
          <w:sz w:val="24"/>
          <w:szCs w:val="24"/>
        </w:rPr>
      </w:pPr>
    </w:p>
    <w:p w:rsidR="001A6ED1" w:rsidRDefault="00F02717" w:rsidP="00082C09">
      <w:pPr>
        <w:pStyle w:val="ListParagraph"/>
        <w:numPr>
          <w:ilvl w:val="1"/>
          <w:numId w:val="25"/>
        </w:numPr>
        <w:ind w:left="720" w:right="720"/>
        <w:rPr>
          <w:rFonts w:ascii="Times New Roman" w:hAnsi="Times New Roman"/>
          <w:sz w:val="24"/>
          <w:szCs w:val="24"/>
        </w:rPr>
      </w:pPr>
      <w:r w:rsidRPr="001A6ED1">
        <w:rPr>
          <w:rFonts w:ascii="Times New Roman" w:hAnsi="Times New Roman"/>
          <w:sz w:val="24"/>
          <w:szCs w:val="24"/>
        </w:rPr>
        <w:t xml:space="preserve">The unauthorized person who used the PHI or to whom the disclosure was made; </w:t>
      </w:r>
    </w:p>
    <w:p w:rsidR="001A6ED1" w:rsidRPr="001A6ED1" w:rsidRDefault="001A6ED1" w:rsidP="001A6ED1">
      <w:pPr>
        <w:ind w:right="720"/>
        <w:rPr>
          <w:rFonts w:ascii="Times New Roman" w:hAnsi="Times New Roman"/>
          <w:sz w:val="24"/>
          <w:szCs w:val="24"/>
        </w:rPr>
      </w:pPr>
    </w:p>
    <w:p w:rsidR="001A6ED1" w:rsidRDefault="00F02717" w:rsidP="00082C09">
      <w:pPr>
        <w:pStyle w:val="ListParagraph"/>
        <w:numPr>
          <w:ilvl w:val="1"/>
          <w:numId w:val="25"/>
        </w:numPr>
        <w:ind w:left="720" w:right="720"/>
        <w:rPr>
          <w:rFonts w:ascii="Times New Roman" w:hAnsi="Times New Roman"/>
          <w:sz w:val="24"/>
          <w:szCs w:val="24"/>
        </w:rPr>
      </w:pPr>
      <w:r w:rsidRPr="001A6ED1">
        <w:rPr>
          <w:rFonts w:ascii="Times New Roman" w:hAnsi="Times New Roman"/>
          <w:sz w:val="24"/>
          <w:szCs w:val="24"/>
        </w:rPr>
        <w:t xml:space="preserve">Whether the PHI was actually acquired or viewed; and </w:t>
      </w:r>
    </w:p>
    <w:p w:rsidR="001A6ED1" w:rsidRPr="001A6ED1" w:rsidRDefault="001A6ED1" w:rsidP="001A6ED1">
      <w:pPr>
        <w:ind w:right="720"/>
        <w:rPr>
          <w:rFonts w:ascii="Times New Roman" w:hAnsi="Times New Roman"/>
          <w:sz w:val="24"/>
          <w:szCs w:val="24"/>
        </w:rPr>
      </w:pPr>
    </w:p>
    <w:p w:rsidR="00082C09" w:rsidRPr="001A6ED1" w:rsidRDefault="00F02717" w:rsidP="00082C09">
      <w:pPr>
        <w:pStyle w:val="ListParagraph"/>
        <w:numPr>
          <w:ilvl w:val="1"/>
          <w:numId w:val="25"/>
        </w:numPr>
        <w:ind w:left="720" w:right="720"/>
        <w:rPr>
          <w:rFonts w:ascii="Times New Roman" w:hAnsi="Times New Roman"/>
          <w:sz w:val="24"/>
          <w:szCs w:val="24"/>
        </w:rPr>
      </w:pPr>
      <w:r w:rsidRPr="001A6ED1">
        <w:rPr>
          <w:rFonts w:ascii="Times New Roman" w:hAnsi="Times New Roman"/>
          <w:sz w:val="24"/>
          <w:szCs w:val="24"/>
        </w:rPr>
        <w:t>The extent to which the risk to the PHI has been mitigated.</w:t>
      </w:r>
    </w:p>
    <w:p w:rsidR="00990C06" w:rsidRPr="00990C06" w:rsidRDefault="00990C06" w:rsidP="00082C09">
      <w:pPr>
        <w:ind w:left="720" w:right="720"/>
        <w:rPr>
          <w:rFonts w:ascii="Times New Roman" w:hAnsi="Times New Roman"/>
          <w:sz w:val="24"/>
          <w:szCs w:val="24"/>
        </w:rPr>
      </w:pPr>
      <w:r w:rsidRPr="00990C06">
        <w:rPr>
          <w:rFonts w:ascii="Times New Roman" w:hAnsi="Times New Roman"/>
          <w:sz w:val="24"/>
          <w:szCs w:val="24"/>
        </w:rPr>
        <w:t xml:space="preserve">  </w:t>
      </w:r>
    </w:p>
    <w:p w:rsidR="00423D3D" w:rsidRDefault="007B5EC8" w:rsidP="00990C06">
      <w:pPr>
        <w:spacing w:after="240"/>
        <w:jc w:val="both"/>
        <w:rPr>
          <w:rFonts w:ascii="Times New Roman" w:hAnsi="Times New Roman"/>
          <w:sz w:val="24"/>
          <w:szCs w:val="24"/>
        </w:rPr>
      </w:pPr>
      <w:r>
        <w:rPr>
          <w:rFonts w:ascii="Times New Roman" w:hAnsi="Times New Roman"/>
          <w:sz w:val="24"/>
          <w:szCs w:val="24"/>
        </w:rPr>
        <w:t>A Covered Entity</w:t>
      </w:r>
      <w:r w:rsidR="00F5088E">
        <w:rPr>
          <w:rFonts w:ascii="Times New Roman" w:hAnsi="Times New Roman"/>
          <w:sz w:val="24"/>
          <w:szCs w:val="24"/>
        </w:rPr>
        <w:t xml:space="preserve"> or Business Associate</w:t>
      </w:r>
      <w:r>
        <w:rPr>
          <w:rFonts w:ascii="Times New Roman" w:hAnsi="Times New Roman"/>
          <w:sz w:val="24"/>
          <w:szCs w:val="24"/>
        </w:rPr>
        <w:t xml:space="preserve"> may consider other factors (as appropriate), but the risk assessment must be documented, thorough, completed in good faith and the conclusions reached must be reasonable.</w:t>
      </w:r>
      <w:r w:rsidR="00423D3D">
        <w:rPr>
          <w:rFonts w:ascii="Times New Roman" w:hAnsi="Times New Roman"/>
          <w:sz w:val="24"/>
          <w:szCs w:val="24"/>
        </w:rPr>
        <w:t xml:space="preserve">  </w:t>
      </w:r>
    </w:p>
    <w:p w:rsidR="007B5EC8" w:rsidRDefault="00423D3D" w:rsidP="00990C06">
      <w:pPr>
        <w:spacing w:after="240"/>
        <w:jc w:val="both"/>
        <w:rPr>
          <w:rFonts w:ascii="Times New Roman" w:hAnsi="Times New Roman"/>
          <w:sz w:val="24"/>
          <w:szCs w:val="24"/>
        </w:rPr>
      </w:pPr>
      <w:r w:rsidRPr="00423D3D">
        <w:rPr>
          <w:rFonts w:ascii="Times New Roman" w:hAnsi="Times New Roman"/>
          <w:b/>
          <w:sz w:val="24"/>
          <w:szCs w:val="24"/>
        </w:rPr>
        <w:t>PRACTICAL TIP:</w:t>
      </w:r>
      <w:r>
        <w:rPr>
          <w:rFonts w:ascii="Times New Roman" w:hAnsi="Times New Roman"/>
          <w:sz w:val="24"/>
          <w:szCs w:val="24"/>
        </w:rPr>
        <w:t xml:space="preserve">  We have had clients conclude through a written risk assessment that there is a low probability that PHI has been compromised following an impermissible disclosure – often because the type of data exposed posed minimal risk of identity theft or re-identification, but entities should be careful about performing a risk assessment on a large data breach.  OCR has issued a fair amount of guidance on the four factors set forth above.  Entities should </w:t>
      </w:r>
      <w:r w:rsidR="001E0ACD">
        <w:rPr>
          <w:rFonts w:ascii="Times New Roman" w:hAnsi="Times New Roman"/>
          <w:sz w:val="24"/>
          <w:szCs w:val="24"/>
        </w:rPr>
        <w:t>ensure</w:t>
      </w:r>
      <w:r>
        <w:rPr>
          <w:rFonts w:ascii="Times New Roman" w:hAnsi="Times New Roman"/>
          <w:sz w:val="24"/>
          <w:szCs w:val="24"/>
        </w:rPr>
        <w:t xml:space="preserve"> they are staying within that guidance and making reasonable conclusions.</w:t>
      </w:r>
      <w:r w:rsidR="00481361">
        <w:rPr>
          <w:rStyle w:val="FootnoteReference"/>
          <w:rFonts w:ascii="Times New Roman" w:hAnsi="Times New Roman"/>
          <w:sz w:val="24"/>
          <w:szCs w:val="24"/>
        </w:rPr>
        <w:footnoteReference w:id="4"/>
      </w:r>
      <w:r>
        <w:rPr>
          <w:rFonts w:ascii="Times New Roman" w:hAnsi="Times New Roman"/>
          <w:sz w:val="24"/>
          <w:szCs w:val="24"/>
        </w:rPr>
        <w:t xml:space="preserve">  </w:t>
      </w:r>
      <w:r w:rsidR="007B5EC8">
        <w:rPr>
          <w:rFonts w:ascii="Times New Roman" w:hAnsi="Times New Roman"/>
          <w:sz w:val="24"/>
          <w:szCs w:val="24"/>
        </w:rPr>
        <w:t xml:space="preserve">  </w:t>
      </w:r>
    </w:p>
    <w:p w:rsidR="0024227D" w:rsidRDefault="005C4BCD" w:rsidP="00153D51">
      <w:pPr>
        <w:spacing w:after="240"/>
        <w:jc w:val="both"/>
        <w:rPr>
          <w:rFonts w:ascii="Times New Roman" w:hAnsi="Times New Roman"/>
          <w:sz w:val="24"/>
          <w:szCs w:val="24"/>
        </w:rPr>
      </w:pPr>
      <w:r>
        <w:rPr>
          <w:rFonts w:ascii="Times New Roman" w:hAnsi="Times New Roman"/>
          <w:sz w:val="24"/>
          <w:szCs w:val="24"/>
        </w:rPr>
        <w:t xml:space="preserve">If </w:t>
      </w:r>
      <w:r w:rsidR="0058697F">
        <w:rPr>
          <w:rFonts w:ascii="Times New Roman" w:hAnsi="Times New Roman"/>
          <w:sz w:val="24"/>
          <w:szCs w:val="24"/>
        </w:rPr>
        <w:t xml:space="preserve">your organization cannot conclude through a written risk assessment that </w:t>
      </w:r>
      <w:r w:rsidR="004E5686">
        <w:rPr>
          <w:rFonts w:ascii="Times New Roman" w:hAnsi="Times New Roman"/>
          <w:sz w:val="24"/>
          <w:szCs w:val="24"/>
        </w:rPr>
        <w:t xml:space="preserve">there is a low probability that the PHI was compromised </w:t>
      </w:r>
      <w:r w:rsidR="0058697F">
        <w:rPr>
          <w:rFonts w:ascii="Times New Roman" w:hAnsi="Times New Roman"/>
          <w:sz w:val="24"/>
          <w:szCs w:val="24"/>
        </w:rPr>
        <w:t xml:space="preserve">– you </w:t>
      </w:r>
      <w:r w:rsidR="0058697F" w:rsidRPr="00DF3B20">
        <w:rPr>
          <w:rFonts w:ascii="Times New Roman" w:hAnsi="Times New Roman"/>
          <w:sz w:val="24"/>
          <w:szCs w:val="24"/>
          <w:u w:val="single"/>
        </w:rPr>
        <w:t>must</w:t>
      </w:r>
      <w:r w:rsidR="0058697F">
        <w:rPr>
          <w:rFonts w:ascii="Times New Roman" w:hAnsi="Times New Roman"/>
          <w:sz w:val="24"/>
          <w:szCs w:val="24"/>
        </w:rPr>
        <w:t xml:space="preserve"> find that there was a Breach of Unsecured PHI and </w:t>
      </w:r>
      <w:r w:rsidR="00990C06" w:rsidRPr="0024227D">
        <w:rPr>
          <w:rFonts w:ascii="Times New Roman" w:hAnsi="Times New Roman"/>
          <w:sz w:val="24"/>
          <w:szCs w:val="24"/>
        </w:rPr>
        <w:t>provide notification of the Breach to</w:t>
      </w:r>
      <w:r w:rsidR="00721F21">
        <w:rPr>
          <w:rFonts w:ascii="Times New Roman" w:hAnsi="Times New Roman"/>
          <w:sz w:val="24"/>
          <w:szCs w:val="24"/>
        </w:rPr>
        <w:t>:</w:t>
      </w:r>
      <w:r w:rsidR="00990C06" w:rsidRPr="0024227D">
        <w:rPr>
          <w:rFonts w:ascii="Times New Roman" w:hAnsi="Times New Roman"/>
          <w:sz w:val="24"/>
          <w:szCs w:val="24"/>
        </w:rPr>
        <w:t xml:space="preserve"> </w:t>
      </w:r>
      <w:r w:rsidR="0024227D">
        <w:rPr>
          <w:rFonts w:ascii="Times New Roman" w:hAnsi="Times New Roman"/>
          <w:sz w:val="24"/>
          <w:szCs w:val="24"/>
        </w:rPr>
        <w:t xml:space="preserve">(i) </w:t>
      </w:r>
      <w:r w:rsidR="0024227D" w:rsidRPr="0024227D">
        <w:rPr>
          <w:rFonts w:ascii="Times New Roman" w:hAnsi="Times New Roman"/>
          <w:sz w:val="24"/>
          <w:szCs w:val="24"/>
        </w:rPr>
        <w:t xml:space="preserve">each individual whose PHI has been, </w:t>
      </w:r>
      <w:r w:rsidR="0024227D" w:rsidRPr="00F4440B">
        <w:rPr>
          <w:rFonts w:ascii="Times New Roman" w:hAnsi="Times New Roman"/>
          <w:bCs/>
          <w:iCs/>
          <w:sz w:val="24"/>
          <w:szCs w:val="24"/>
        </w:rPr>
        <w:t>or is reasonably believed to have been</w:t>
      </w:r>
      <w:r w:rsidR="0024227D" w:rsidRPr="00F4440B">
        <w:rPr>
          <w:rFonts w:ascii="Times New Roman" w:hAnsi="Times New Roman"/>
          <w:sz w:val="24"/>
          <w:szCs w:val="24"/>
        </w:rPr>
        <w:t xml:space="preserve">, </w:t>
      </w:r>
      <w:r w:rsidR="0024227D" w:rsidRPr="0024227D">
        <w:rPr>
          <w:rFonts w:ascii="Times New Roman" w:hAnsi="Times New Roman"/>
          <w:sz w:val="24"/>
          <w:szCs w:val="24"/>
        </w:rPr>
        <w:t>accessed, acquired, used, or disclo</w:t>
      </w:r>
      <w:r w:rsidR="0024227D">
        <w:rPr>
          <w:rFonts w:ascii="Times New Roman" w:hAnsi="Times New Roman"/>
          <w:sz w:val="24"/>
          <w:szCs w:val="24"/>
        </w:rPr>
        <w:t>sed as a result of such B</w:t>
      </w:r>
      <w:r w:rsidR="0024227D" w:rsidRPr="0024227D">
        <w:rPr>
          <w:rFonts w:ascii="Times New Roman" w:hAnsi="Times New Roman"/>
          <w:sz w:val="24"/>
          <w:szCs w:val="24"/>
        </w:rPr>
        <w:t>reach</w:t>
      </w:r>
      <w:r w:rsidR="0024227D">
        <w:rPr>
          <w:rFonts w:ascii="Times New Roman" w:hAnsi="Times New Roman"/>
          <w:sz w:val="24"/>
          <w:szCs w:val="24"/>
        </w:rPr>
        <w:t xml:space="preserve">; (ii) </w:t>
      </w:r>
      <w:r w:rsidR="00990C06" w:rsidRPr="0024227D">
        <w:rPr>
          <w:rFonts w:ascii="Times New Roman" w:hAnsi="Times New Roman"/>
          <w:sz w:val="24"/>
          <w:szCs w:val="24"/>
        </w:rPr>
        <w:t>the Secretary</w:t>
      </w:r>
      <w:r w:rsidR="00533D19" w:rsidRPr="0024227D">
        <w:rPr>
          <w:rFonts w:ascii="Times New Roman" w:hAnsi="Times New Roman"/>
          <w:sz w:val="24"/>
          <w:szCs w:val="24"/>
        </w:rPr>
        <w:t xml:space="preserve"> of </w:t>
      </w:r>
      <w:r w:rsidR="00822755">
        <w:rPr>
          <w:rFonts w:ascii="Times New Roman" w:hAnsi="Times New Roman"/>
          <w:sz w:val="24"/>
          <w:szCs w:val="24"/>
        </w:rPr>
        <w:t>HHS</w:t>
      </w:r>
      <w:r w:rsidR="0024227D">
        <w:rPr>
          <w:rFonts w:ascii="Times New Roman" w:hAnsi="Times New Roman"/>
          <w:sz w:val="24"/>
          <w:szCs w:val="24"/>
        </w:rPr>
        <w:t xml:space="preserve">; </w:t>
      </w:r>
      <w:r w:rsidR="00990C06" w:rsidRPr="0024227D">
        <w:rPr>
          <w:rFonts w:ascii="Times New Roman" w:hAnsi="Times New Roman"/>
          <w:sz w:val="24"/>
          <w:szCs w:val="24"/>
        </w:rPr>
        <w:t>and</w:t>
      </w:r>
      <w:r w:rsidR="0024227D">
        <w:rPr>
          <w:rFonts w:ascii="Times New Roman" w:hAnsi="Times New Roman"/>
          <w:sz w:val="24"/>
          <w:szCs w:val="24"/>
        </w:rPr>
        <w:t xml:space="preserve"> (iii) </w:t>
      </w:r>
      <w:r w:rsidR="007C2340">
        <w:rPr>
          <w:rFonts w:ascii="Times New Roman" w:hAnsi="Times New Roman"/>
          <w:sz w:val="24"/>
          <w:szCs w:val="24"/>
        </w:rPr>
        <w:t xml:space="preserve">in certain circumstances, </w:t>
      </w:r>
      <w:r w:rsidR="00990C06" w:rsidRPr="0024227D">
        <w:rPr>
          <w:rFonts w:ascii="Times New Roman" w:hAnsi="Times New Roman"/>
          <w:sz w:val="24"/>
          <w:szCs w:val="24"/>
        </w:rPr>
        <w:t>the media.</w:t>
      </w:r>
    </w:p>
    <w:p w:rsidR="00990C06" w:rsidRPr="00F43A16" w:rsidRDefault="00CC3C60" w:rsidP="0024227D">
      <w:pPr>
        <w:spacing w:after="240"/>
        <w:jc w:val="both"/>
        <w:rPr>
          <w:rFonts w:ascii="Times New Roman" w:hAnsi="Times New Roman"/>
          <w:sz w:val="24"/>
          <w:szCs w:val="24"/>
        </w:rPr>
      </w:pPr>
      <w:r>
        <w:rPr>
          <w:rFonts w:ascii="Times New Roman" w:hAnsi="Times New Roman"/>
          <w:sz w:val="24"/>
          <w:szCs w:val="24"/>
        </w:rPr>
        <w:tab/>
      </w:r>
      <w:r w:rsidRPr="00F43A16">
        <w:rPr>
          <w:rFonts w:ascii="Times New Roman" w:hAnsi="Times New Roman"/>
          <w:sz w:val="24"/>
          <w:szCs w:val="24"/>
        </w:rPr>
        <w:t>(i)</w:t>
      </w:r>
      <w:r w:rsidRPr="00F43A16">
        <w:rPr>
          <w:rFonts w:ascii="Times New Roman" w:hAnsi="Times New Roman"/>
          <w:sz w:val="24"/>
          <w:szCs w:val="24"/>
        </w:rPr>
        <w:tab/>
      </w:r>
      <w:r w:rsidR="00EB5542" w:rsidRPr="00F4440B">
        <w:rPr>
          <w:rFonts w:ascii="Times New Roman" w:hAnsi="Times New Roman"/>
          <w:sz w:val="24"/>
          <w:szCs w:val="24"/>
          <w:u w:val="single"/>
        </w:rPr>
        <w:t xml:space="preserve">Notice to Affected </w:t>
      </w:r>
      <w:r w:rsidR="00990C06" w:rsidRPr="00F4440B">
        <w:rPr>
          <w:rFonts w:ascii="Times New Roman" w:hAnsi="Times New Roman"/>
          <w:sz w:val="24"/>
          <w:szCs w:val="24"/>
          <w:u w:val="single"/>
        </w:rPr>
        <w:t>Individual(s)</w:t>
      </w:r>
    </w:p>
    <w:p w:rsidR="0047220C" w:rsidRDefault="00CC3C60" w:rsidP="00990C06">
      <w:pPr>
        <w:spacing w:after="240"/>
        <w:jc w:val="both"/>
        <w:rPr>
          <w:rFonts w:ascii="Times New Roman" w:hAnsi="Times New Roman"/>
          <w:sz w:val="24"/>
          <w:szCs w:val="24"/>
        </w:rPr>
      </w:pPr>
      <w:r>
        <w:rPr>
          <w:rFonts w:ascii="Times New Roman" w:hAnsi="Times New Roman"/>
          <w:sz w:val="24"/>
          <w:szCs w:val="24"/>
        </w:rPr>
        <w:t>A Covered Entity</w:t>
      </w:r>
      <w:r w:rsidR="00990C06" w:rsidRPr="00990C06">
        <w:rPr>
          <w:rFonts w:ascii="Times New Roman" w:hAnsi="Times New Roman"/>
          <w:sz w:val="24"/>
          <w:szCs w:val="24"/>
        </w:rPr>
        <w:t xml:space="preserve"> must provide </w:t>
      </w:r>
      <w:r>
        <w:rPr>
          <w:rFonts w:ascii="Times New Roman" w:hAnsi="Times New Roman"/>
          <w:sz w:val="24"/>
          <w:szCs w:val="24"/>
        </w:rPr>
        <w:t>notice to the affected i</w:t>
      </w:r>
      <w:r w:rsidR="00990C06" w:rsidRPr="00990C06">
        <w:rPr>
          <w:rFonts w:ascii="Times New Roman" w:hAnsi="Times New Roman"/>
          <w:sz w:val="24"/>
          <w:szCs w:val="24"/>
        </w:rPr>
        <w:t>ndividual</w:t>
      </w:r>
      <w:r>
        <w:rPr>
          <w:rFonts w:ascii="Times New Roman" w:hAnsi="Times New Roman"/>
          <w:sz w:val="24"/>
          <w:szCs w:val="24"/>
        </w:rPr>
        <w:t xml:space="preserve">s </w:t>
      </w:r>
      <w:r w:rsidR="00990C06" w:rsidRPr="00990C06">
        <w:rPr>
          <w:rFonts w:ascii="Times New Roman" w:hAnsi="Times New Roman"/>
          <w:sz w:val="24"/>
          <w:szCs w:val="24"/>
        </w:rPr>
        <w:t xml:space="preserve">in written form by </w:t>
      </w:r>
      <w:r w:rsidR="00990C06" w:rsidRPr="00CC3C60">
        <w:rPr>
          <w:rFonts w:ascii="Times New Roman" w:hAnsi="Times New Roman"/>
          <w:sz w:val="24"/>
          <w:szCs w:val="24"/>
        </w:rPr>
        <w:t>first-class mail, or alternativ</w:t>
      </w:r>
      <w:r w:rsidRPr="00CC3C60">
        <w:rPr>
          <w:rFonts w:ascii="Times New Roman" w:hAnsi="Times New Roman"/>
          <w:sz w:val="24"/>
          <w:szCs w:val="24"/>
        </w:rPr>
        <w:t>ely, by e-mail if the affected i</w:t>
      </w:r>
      <w:r w:rsidR="00990C06" w:rsidRPr="00CC3C60">
        <w:rPr>
          <w:rFonts w:ascii="Times New Roman" w:hAnsi="Times New Roman"/>
          <w:sz w:val="24"/>
          <w:szCs w:val="24"/>
        </w:rPr>
        <w:t xml:space="preserve">ndividual has agreed to receive such notices </w:t>
      </w:r>
      <w:r w:rsidR="00990C06" w:rsidRPr="00CC3C60">
        <w:rPr>
          <w:rFonts w:ascii="Times New Roman" w:hAnsi="Times New Roman"/>
          <w:sz w:val="24"/>
          <w:szCs w:val="24"/>
        </w:rPr>
        <w:lastRenderedPageBreak/>
        <w:t>electronically.</w:t>
      </w:r>
      <w:r w:rsidR="0047220C">
        <w:rPr>
          <w:rFonts w:ascii="Times New Roman" w:hAnsi="Times New Roman"/>
          <w:b/>
          <w:i/>
          <w:sz w:val="24"/>
          <w:szCs w:val="24"/>
        </w:rPr>
        <w:t xml:space="preserve">   </w:t>
      </w:r>
      <w:r w:rsidR="00F4440B">
        <w:rPr>
          <w:rFonts w:ascii="Times New Roman" w:hAnsi="Times New Roman"/>
          <w:b/>
          <w:i/>
          <w:sz w:val="24"/>
          <w:szCs w:val="24"/>
        </w:rPr>
        <w:t>I</w:t>
      </w:r>
      <w:r w:rsidR="00990C06" w:rsidRPr="00AF75BD">
        <w:rPr>
          <w:rFonts w:ascii="Times New Roman" w:hAnsi="Times New Roman"/>
          <w:b/>
          <w:i/>
          <w:sz w:val="24"/>
          <w:szCs w:val="24"/>
        </w:rPr>
        <w:t>ndividual notifications must be provided without unreasonable delay and in no case later than 60 days following the discovery of a Breach</w:t>
      </w:r>
      <w:r w:rsidR="00990C06" w:rsidRPr="00990C06">
        <w:rPr>
          <w:rFonts w:ascii="Times New Roman" w:hAnsi="Times New Roman"/>
          <w:sz w:val="24"/>
          <w:szCs w:val="24"/>
        </w:rPr>
        <w:t xml:space="preserve"> and must include, to the extent possible, a description of the Breach, a description of the types of information that were involved in </w:t>
      </w:r>
      <w:r w:rsidR="00105366">
        <w:rPr>
          <w:rFonts w:ascii="Times New Roman" w:hAnsi="Times New Roman"/>
          <w:sz w:val="24"/>
          <w:szCs w:val="24"/>
        </w:rPr>
        <w:t>the Breach, the steps affected i</w:t>
      </w:r>
      <w:r w:rsidR="00990C06" w:rsidRPr="00990C06">
        <w:rPr>
          <w:rFonts w:ascii="Times New Roman" w:hAnsi="Times New Roman"/>
          <w:sz w:val="24"/>
          <w:szCs w:val="24"/>
        </w:rPr>
        <w:t>ndividuals should take to protect themselves from potential harm, a brief description of what the Covered Entity is doing to investigate the Breach, mitigate the harm, and prevent further Breaches, as well as contact information for the Covered Entity.</w:t>
      </w:r>
    </w:p>
    <w:p w:rsidR="00990C06" w:rsidRPr="0047220C" w:rsidRDefault="0047220C" w:rsidP="00990C06">
      <w:pPr>
        <w:spacing w:after="240"/>
        <w:jc w:val="both"/>
        <w:rPr>
          <w:rFonts w:ascii="Times New Roman" w:hAnsi="Times New Roman"/>
          <w:sz w:val="24"/>
          <w:szCs w:val="24"/>
        </w:rPr>
      </w:pPr>
      <w:r w:rsidRPr="0047220C">
        <w:rPr>
          <w:rFonts w:ascii="Times New Roman" w:hAnsi="Times New Roman"/>
          <w:sz w:val="24"/>
          <w:szCs w:val="24"/>
        </w:rPr>
        <w:t xml:space="preserve">If the Covered Entity has insufficient or out-of-date contact information for fewer than 10 individuals, the Covered Entity may provide substitute notice by an alternative form of written, telephone, or other means.  If the Covered Entity has insufficient or out-of-date contact information for 10 or more individuals, the Covered Entity must provide substitute individual notice by </w:t>
      </w:r>
      <w:r w:rsidRPr="0047220C">
        <w:rPr>
          <w:rFonts w:ascii="Times New Roman" w:hAnsi="Times New Roman"/>
          <w:b/>
          <w:i/>
          <w:sz w:val="24"/>
          <w:szCs w:val="24"/>
        </w:rPr>
        <w:t xml:space="preserve">either </w:t>
      </w:r>
      <w:r w:rsidRPr="0047220C">
        <w:rPr>
          <w:rFonts w:ascii="Times New Roman" w:hAnsi="Times New Roman"/>
          <w:sz w:val="24"/>
          <w:szCs w:val="24"/>
        </w:rPr>
        <w:t>posting the notice on the home page of its web site or by providing the notice in major print or broa</w:t>
      </w:r>
      <w:r w:rsidR="00597057">
        <w:rPr>
          <w:rFonts w:ascii="Times New Roman" w:hAnsi="Times New Roman"/>
          <w:sz w:val="24"/>
          <w:szCs w:val="24"/>
        </w:rPr>
        <w:t>dcast media where the affected i</w:t>
      </w:r>
      <w:r w:rsidRPr="0047220C">
        <w:rPr>
          <w:rFonts w:ascii="Times New Roman" w:hAnsi="Times New Roman"/>
          <w:sz w:val="24"/>
          <w:szCs w:val="24"/>
        </w:rPr>
        <w:t xml:space="preserve">ndividuals likely reside.  </w:t>
      </w:r>
      <w:r w:rsidRPr="0047220C">
        <w:rPr>
          <w:rFonts w:ascii="Times New Roman" w:hAnsi="Times New Roman"/>
          <w:sz w:val="24"/>
          <w:szCs w:val="24"/>
          <w:lang w:val="en"/>
        </w:rPr>
        <w:t xml:space="preserve">If a Covered Entity chooses to provide substitute notice on its web site, it may provide all the information described at § 164.404(c) directly on its home page (“home page” includes the home page for visitors to the covered entity’s web site and the landing page or login page for existing account holders) </w:t>
      </w:r>
      <w:r w:rsidRPr="0047220C">
        <w:rPr>
          <w:rFonts w:ascii="Times New Roman" w:hAnsi="Times New Roman"/>
          <w:bCs/>
          <w:iCs/>
          <w:sz w:val="24"/>
          <w:szCs w:val="24"/>
          <w:lang w:val="en"/>
        </w:rPr>
        <w:t>or may provide a prominent hyperlink on its home page to the notice containing such information</w:t>
      </w:r>
      <w:r w:rsidRPr="0047220C">
        <w:rPr>
          <w:rFonts w:ascii="Times New Roman" w:hAnsi="Times New Roman"/>
          <w:sz w:val="24"/>
          <w:szCs w:val="24"/>
          <w:lang w:val="en"/>
        </w:rPr>
        <w:t>.</w:t>
      </w:r>
      <w:r w:rsidRPr="0047220C">
        <w:rPr>
          <w:rFonts w:ascii="Times New Roman" w:hAnsi="Times New Roman"/>
          <w:i/>
          <w:sz w:val="24"/>
          <w:szCs w:val="24"/>
        </w:rPr>
        <w:t xml:space="preserve">  </w:t>
      </w:r>
      <w:r w:rsidR="00990C06" w:rsidRPr="0047220C">
        <w:rPr>
          <w:rFonts w:ascii="Times New Roman" w:hAnsi="Times New Roman"/>
          <w:sz w:val="24"/>
          <w:szCs w:val="24"/>
        </w:rPr>
        <w:t xml:space="preserve">Additionally, for substitute notice provided via web posting or major print or broadcast media, the notification must </w:t>
      </w:r>
      <w:r w:rsidR="00597057">
        <w:rPr>
          <w:rFonts w:ascii="Times New Roman" w:hAnsi="Times New Roman"/>
          <w:sz w:val="24"/>
          <w:szCs w:val="24"/>
        </w:rPr>
        <w:t>include a toll-free number for i</w:t>
      </w:r>
      <w:r w:rsidR="00990C06" w:rsidRPr="0047220C">
        <w:rPr>
          <w:rFonts w:ascii="Times New Roman" w:hAnsi="Times New Roman"/>
          <w:sz w:val="24"/>
          <w:szCs w:val="24"/>
        </w:rPr>
        <w:t>ndividuals to contact the Covered Entity to determine if their PHI was involved in the Breach.</w:t>
      </w:r>
    </w:p>
    <w:p w:rsidR="00990C06" w:rsidRPr="00F43A16" w:rsidRDefault="00AF75BD" w:rsidP="00AF75BD">
      <w:pPr>
        <w:spacing w:after="240"/>
        <w:ind w:left="720"/>
        <w:jc w:val="both"/>
        <w:rPr>
          <w:rFonts w:ascii="Times New Roman" w:hAnsi="Times New Roman"/>
          <w:sz w:val="24"/>
          <w:szCs w:val="24"/>
        </w:rPr>
      </w:pPr>
      <w:r w:rsidRPr="00F43A16">
        <w:rPr>
          <w:rFonts w:ascii="Times New Roman" w:hAnsi="Times New Roman"/>
          <w:sz w:val="24"/>
          <w:szCs w:val="24"/>
        </w:rPr>
        <w:t>(ii)</w:t>
      </w:r>
      <w:r w:rsidRPr="00F43A16">
        <w:rPr>
          <w:rFonts w:ascii="Times New Roman" w:hAnsi="Times New Roman"/>
          <w:sz w:val="24"/>
          <w:szCs w:val="24"/>
        </w:rPr>
        <w:tab/>
      </w:r>
      <w:r w:rsidRPr="00B5549F">
        <w:rPr>
          <w:rFonts w:ascii="Times New Roman" w:hAnsi="Times New Roman"/>
          <w:sz w:val="24"/>
          <w:szCs w:val="24"/>
          <w:u w:val="single"/>
        </w:rPr>
        <w:t xml:space="preserve">Notice to </w:t>
      </w:r>
      <w:r w:rsidR="00990C06" w:rsidRPr="00B5549F">
        <w:rPr>
          <w:rFonts w:ascii="Times New Roman" w:hAnsi="Times New Roman"/>
          <w:sz w:val="24"/>
          <w:szCs w:val="24"/>
          <w:u w:val="single"/>
        </w:rPr>
        <w:t>Secretary</w:t>
      </w:r>
    </w:p>
    <w:p w:rsidR="00990C06" w:rsidRPr="00894D71" w:rsidRDefault="00990C06" w:rsidP="00990C06">
      <w:pPr>
        <w:spacing w:after="240"/>
        <w:jc w:val="both"/>
        <w:rPr>
          <w:rFonts w:ascii="Times New Roman" w:hAnsi="Times New Roman"/>
          <w:sz w:val="24"/>
          <w:szCs w:val="24"/>
        </w:rPr>
      </w:pPr>
      <w:r w:rsidRPr="00894D71">
        <w:rPr>
          <w:rFonts w:ascii="Times New Roman" w:hAnsi="Times New Roman"/>
          <w:sz w:val="24"/>
          <w:szCs w:val="24"/>
        </w:rPr>
        <w:t xml:space="preserve">In addition to notifying </w:t>
      </w:r>
      <w:r w:rsidR="00105366" w:rsidRPr="00894D71">
        <w:rPr>
          <w:rFonts w:ascii="Times New Roman" w:hAnsi="Times New Roman"/>
          <w:sz w:val="24"/>
          <w:szCs w:val="24"/>
        </w:rPr>
        <w:t xml:space="preserve">the </w:t>
      </w:r>
      <w:r w:rsidRPr="00894D71">
        <w:rPr>
          <w:rFonts w:ascii="Times New Roman" w:hAnsi="Times New Roman"/>
          <w:sz w:val="24"/>
          <w:szCs w:val="24"/>
        </w:rPr>
        <w:t xml:space="preserve">affected </w:t>
      </w:r>
      <w:r w:rsidR="00816402" w:rsidRPr="00894D71">
        <w:rPr>
          <w:rFonts w:ascii="Times New Roman" w:hAnsi="Times New Roman"/>
          <w:sz w:val="24"/>
          <w:szCs w:val="24"/>
        </w:rPr>
        <w:t>i</w:t>
      </w:r>
      <w:r w:rsidRPr="00894D71">
        <w:rPr>
          <w:rFonts w:ascii="Times New Roman" w:hAnsi="Times New Roman"/>
          <w:sz w:val="24"/>
          <w:szCs w:val="24"/>
        </w:rPr>
        <w:t>ndividuals, a Covered Entity must notify the Secretary of</w:t>
      </w:r>
      <w:r w:rsidR="007F3AE6" w:rsidRPr="00894D71">
        <w:rPr>
          <w:rFonts w:ascii="Times New Roman" w:hAnsi="Times New Roman"/>
          <w:sz w:val="24"/>
          <w:szCs w:val="24"/>
        </w:rPr>
        <w:t xml:space="preserve"> HHS of</w:t>
      </w:r>
      <w:r w:rsidRPr="00894D71">
        <w:rPr>
          <w:rFonts w:ascii="Times New Roman" w:hAnsi="Times New Roman"/>
          <w:sz w:val="24"/>
          <w:szCs w:val="24"/>
        </w:rPr>
        <w:t xml:space="preserve"> </w:t>
      </w:r>
      <w:r w:rsidR="00105366" w:rsidRPr="00894D71">
        <w:rPr>
          <w:rFonts w:ascii="Times New Roman" w:hAnsi="Times New Roman"/>
          <w:sz w:val="24"/>
          <w:szCs w:val="24"/>
        </w:rPr>
        <w:t>a Breach</w:t>
      </w:r>
      <w:r w:rsidRPr="00894D71">
        <w:rPr>
          <w:rFonts w:ascii="Times New Roman" w:hAnsi="Times New Roman"/>
          <w:sz w:val="24"/>
          <w:szCs w:val="24"/>
        </w:rPr>
        <w:t xml:space="preserve"> of Unsecu</w:t>
      </w:r>
      <w:r w:rsidR="00105366" w:rsidRPr="00894D71">
        <w:rPr>
          <w:rFonts w:ascii="Times New Roman" w:hAnsi="Times New Roman"/>
          <w:sz w:val="24"/>
          <w:szCs w:val="24"/>
        </w:rPr>
        <w:t xml:space="preserve">red PHI.  A Covered Entity must </w:t>
      </w:r>
      <w:r w:rsidRPr="00894D71">
        <w:rPr>
          <w:rFonts w:ascii="Times New Roman" w:hAnsi="Times New Roman"/>
          <w:sz w:val="24"/>
          <w:szCs w:val="24"/>
        </w:rPr>
        <w:t>notify the Secretary</w:t>
      </w:r>
      <w:r w:rsidR="007F3AE6" w:rsidRPr="00894D71">
        <w:rPr>
          <w:rFonts w:ascii="Times New Roman" w:hAnsi="Times New Roman"/>
          <w:sz w:val="24"/>
          <w:szCs w:val="24"/>
        </w:rPr>
        <w:t xml:space="preserve"> </w:t>
      </w:r>
      <w:r w:rsidRPr="00894D71">
        <w:rPr>
          <w:rFonts w:ascii="Times New Roman" w:hAnsi="Times New Roman"/>
          <w:sz w:val="24"/>
          <w:szCs w:val="24"/>
        </w:rPr>
        <w:t>by visiting the HHS web site and filling out and electronically submitting a Breach report form</w:t>
      </w:r>
      <w:r w:rsidR="00894D71" w:rsidRPr="00894D71">
        <w:rPr>
          <w:rFonts w:ascii="Times New Roman" w:hAnsi="Times New Roman"/>
          <w:sz w:val="24"/>
          <w:szCs w:val="24"/>
        </w:rPr>
        <w:t xml:space="preserve">: </w:t>
      </w:r>
      <w:hyperlink r:id="rId8" w:history="1">
        <w:r w:rsidR="00894D71" w:rsidRPr="00894D71">
          <w:rPr>
            <w:rStyle w:val="Hyperlink"/>
            <w:rFonts w:ascii="Times New Roman" w:hAnsi="Times New Roman"/>
            <w:sz w:val="24"/>
            <w:szCs w:val="24"/>
          </w:rPr>
          <w:t>http://www.hhs.gov/ocr/privacy/hipaa/administrative/breachnotificationrule/brinstruction.html</w:t>
        </w:r>
      </w:hyperlink>
      <w:r w:rsidR="00894D71" w:rsidRPr="00894D71">
        <w:rPr>
          <w:rFonts w:ascii="Times New Roman" w:hAnsi="Times New Roman"/>
          <w:sz w:val="24"/>
          <w:szCs w:val="24"/>
        </w:rPr>
        <w:t xml:space="preserve">.  </w:t>
      </w:r>
      <w:r w:rsidR="00AF75BD" w:rsidRPr="00894D71">
        <w:rPr>
          <w:rFonts w:ascii="Times New Roman" w:hAnsi="Times New Roman"/>
          <w:sz w:val="24"/>
          <w:szCs w:val="24"/>
        </w:rPr>
        <w:t>If a</w:t>
      </w:r>
      <w:r w:rsidR="00597057">
        <w:rPr>
          <w:rFonts w:ascii="Times New Roman" w:hAnsi="Times New Roman"/>
          <w:sz w:val="24"/>
          <w:szCs w:val="24"/>
        </w:rPr>
        <w:t xml:space="preserve"> Breach affects fewer than 500 i</w:t>
      </w:r>
      <w:r w:rsidR="00AF75BD" w:rsidRPr="00894D71">
        <w:rPr>
          <w:rFonts w:ascii="Times New Roman" w:hAnsi="Times New Roman"/>
          <w:sz w:val="24"/>
          <w:szCs w:val="24"/>
        </w:rPr>
        <w:t xml:space="preserve">ndividuals, the Covered Entity may notify the Secretary on an annual basis </w:t>
      </w:r>
      <w:r w:rsidR="00B63D93" w:rsidRPr="00894D71">
        <w:rPr>
          <w:rFonts w:ascii="Times New Roman" w:hAnsi="Times New Roman"/>
          <w:sz w:val="24"/>
          <w:szCs w:val="24"/>
        </w:rPr>
        <w:t xml:space="preserve">– </w:t>
      </w:r>
      <w:r w:rsidR="00AF75BD" w:rsidRPr="00894D71">
        <w:rPr>
          <w:rFonts w:ascii="Times New Roman" w:hAnsi="Times New Roman"/>
          <w:sz w:val="24"/>
          <w:szCs w:val="24"/>
        </w:rPr>
        <w:t>but no later than 60 days after the end of the calendar year in which the Breach occurred</w:t>
      </w:r>
      <w:r w:rsidR="00B63D93" w:rsidRPr="00894D71">
        <w:rPr>
          <w:rFonts w:ascii="Times New Roman" w:hAnsi="Times New Roman"/>
          <w:sz w:val="24"/>
          <w:szCs w:val="24"/>
        </w:rPr>
        <w:t>.</w:t>
      </w:r>
      <w:r w:rsidRPr="00894D71">
        <w:rPr>
          <w:rFonts w:ascii="Times New Roman" w:hAnsi="Times New Roman"/>
          <w:sz w:val="24"/>
          <w:szCs w:val="24"/>
        </w:rPr>
        <w:t xml:space="preserve">  </w:t>
      </w:r>
      <w:r w:rsidRPr="00894D71">
        <w:rPr>
          <w:rFonts w:ascii="Times New Roman" w:hAnsi="Times New Roman"/>
          <w:b/>
          <w:i/>
          <w:sz w:val="24"/>
          <w:szCs w:val="24"/>
        </w:rPr>
        <w:t>I</w:t>
      </w:r>
      <w:r w:rsidR="00AF75BD" w:rsidRPr="00894D71">
        <w:rPr>
          <w:rFonts w:ascii="Times New Roman" w:hAnsi="Times New Roman"/>
          <w:b/>
          <w:i/>
          <w:sz w:val="24"/>
          <w:szCs w:val="24"/>
        </w:rPr>
        <w:t>f a Breach affects 500 or more i</w:t>
      </w:r>
      <w:r w:rsidRPr="00894D71">
        <w:rPr>
          <w:rFonts w:ascii="Times New Roman" w:hAnsi="Times New Roman"/>
          <w:b/>
          <w:i/>
          <w:sz w:val="24"/>
          <w:szCs w:val="24"/>
        </w:rPr>
        <w:t xml:space="preserve">ndividuals, </w:t>
      </w:r>
      <w:r w:rsidR="00AF75BD" w:rsidRPr="00894D71">
        <w:rPr>
          <w:rFonts w:ascii="Times New Roman" w:hAnsi="Times New Roman"/>
          <w:b/>
          <w:i/>
          <w:sz w:val="24"/>
          <w:szCs w:val="24"/>
        </w:rPr>
        <w:t>the Covered Entity</w:t>
      </w:r>
      <w:r w:rsidRPr="00894D71">
        <w:rPr>
          <w:rFonts w:ascii="Times New Roman" w:hAnsi="Times New Roman"/>
          <w:b/>
          <w:i/>
          <w:sz w:val="24"/>
          <w:szCs w:val="24"/>
        </w:rPr>
        <w:t xml:space="preserve"> must notify the Secretary without unreasonable delay and in no case later than 60 days following </w:t>
      </w:r>
      <w:r w:rsidR="00AF75BD" w:rsidRPr="00894D71">
        <w:rPr>
          <w:rFonts w:ascii="Times New Roman" w:hAnsi="Times New Roman"/>
          <w:b/>
          <w:i/>
          <w:sz w:val="24"/>
          <w:szCs w:val="24"/>
        </w:rPr>
        <w:t xml:space="preserve">the discovery of </w:t>
      </w:r>
      <w:r w:rsidRPr="00894D71">
        <w:rPr>
          <w:rFonts w:ascii="Times New Roman" w:hAnsi="Times New Roman"/>
          <w:b/>
          <w:i/>
          <w:sz w:val="24"/>
          <w:szCs w:val="24"/>
        </w:rPr>
        <w:t>a Breach</w:t>
      </w:r>
      <w:r w:rsidRPr="00894D71">
        <w:rPr>
          <w:rFonts w:ascii="Times New Roman" w:hAnsi="Times New Roman"/>
          <w:sz w:val="24"/>
          <w:szCs w:val="24"/>
        </w:rPr>
        <w:t>.</w:t>
      </w:r>
    </w:p>
    <w:p w:rsidR="007C2340" w:rsidRPr="00F43A16" w:rsidRDefault="00AF75BD" w:rsidP="00AF75BD">
      <w:pPr>
        <w:spacing w:after="240"/>
        <w:ind w:left="720"/>
        <w:jc w:val="both"/>
        <w:rPr>
          <w:rFonts w:ascii="Times New Roman" w:hAnsi="Times New Roman"/>
          <w:sz w:val="24"/>
          <w:szCs w:val="24"/>
        </w:rPr>
      </w:pPr>
      <w:r w:rsidRPr="00F43A16">
        <w:rPr>
          <w:rFonts w:ascii="Times New Roman" w:hAnsi="Times New Roman"/>
          <w:sz w:val="24"/>
          <w:szCs w:val="24"/>
        </w:rPr>
        <w:t>(iii)</w:t>
      </w:r>
      <w:r w:rsidRPr="00F43A16">
        <w:rPr>
          <w:rFonts w:ascii="Times New Roman" w:hAnsi="Times New Roman"/>
          <w:sz w:val="24"/>
          <w:szCs w:val="24"/>
        </w:rPr>
        <w:tab/>
      </w:r>
      <w:r w:rsidRPr="00B5549F">
        <w:rPr>
          <w:rFonts w:ascii="Times New Roman" w:hAnsi="Times New Roman"/>
          <w:sz w:val="24"/>
          <w:szCs w:val="24"/>
          <w:u w:val="single"/>
        </w:rPr>
        <w:t xml:space="preserve">Notice to </w:t>
      </w:r>
      <w:r w:rsidR="007C2340" w:rsidRPr="00B5549F">
        <w:rPr>
          <w:rFonts w:ascii="Times New Roman" w:hAnsi="Times New Roman"/>
          <w:sz w:val="24"/>
          <w:szCs w:val="24"/>
          <w:u w:val="single"/>
        </w:rPr>
        <w:t>Media</w:t>
      </w:r>
    </w:p>
    <w:p w:rsidR="007C2340" w:rsidRPr="003B54FE" w:rsidRDefault="00AF75BD" w:rsidP="007C2340">
      <w:pPr>
        <w:spacing w:after="240"/>
        <w:jc w:val="both"/>
        <w:rPr>
          <w:rFonts w:ascii="Times New Roman" w:hAnsi="Times New Roman"/>
          <w:b/>
          <w:i/>
          <w:sz w:val="24"/>
          <w:szCs w:val="24"/>
        </w:rPr>
      </w:pPr>
      <w:r>
        <w:rPr>
          <w:rFonts w:ascii="Times New Roman" w:hAnsi="Times New Roman"/>
          <w:sz w:val="24"/>
          <w:szCs w:val="24"/>
        </w:rPr>
        <w:t>A Covered Entity</w:t>
      </w:r>
      <w:r w:rsidR="007C2340" w:rsidRPr="00990C06">
        <w:rPr>
          <w:rFonts w:ascii="Times New Roman" w:hAnsi="Times New Roman"/>
          <w:sz w:val="24"/>
          <w:szCs w:val="24"/>
        </w:rPr>
        <w:t xml:space="preserve"> that experience</w:t>
      </w:r>
      <w:r>
        <w:rPr>
          <w:rFonts w:ascii="Times New Roman" w:hAnsi="Times New Roman"/>
          <w:sz w:val="24"/>
          <w:szCs w:val="24"/>
        </w:rPr>
        <w:t>s</w:t>
      </w:r>
      <w:r w:rsidR="007C2340" w:rsidRPr="00990C06">
        <w:rPr>
          <w:rFonts w:ascii="Times New Roman" w:hAnsi="Times New Roman"/>
          <w:sz w:val="24"/>
          <w:szCs w:val="24"/>
        </w:rPr>
        <w:t xml:space="preserve"> a Breach affecting more than 500 Individuals of a S</w:t>
      </w:r>
      <w:r>
        <w:rPr>
          <w:rFonts w:ascii="Times New Roman" w:hAnsi="Times New Roman"/>
          <w:sz w:val="24"/>
          <w:szCs w:val="24"/>
        </w:rPr>
        <w:t xml:space="preserve">tate or jurisdiction </w:t>
      </w:r>
      <w:r w:rsidR="00B622D8">
        <w:rPr>
          <w:rFonts w:ascii="Times New Roman" w:hAnsi="Times New Roman"/>
          <w:sz w:val="24"/>
          <w:szCs w:val="24"/>
        </w:rPr>
        <w:t>is</w:t>
      </w:r>
      <w:r>
        <w:rPr>
          <w:rFonts w:ascii="Times New Roman" w:hAnsi="Times New Roman"/>
          <w:sz w:val="24"/>
          <w:szCs w:val="24"/>
        </w:rPr>
        <w:t xml:space="preserve"> also </w:t>
      </w:r>
      <w:r w:rsidR="007C2340" w:rsidRPr="00990C06">
        <w:rPr>
          <w:rFonts w:ascii="Times New Roman" w:hAnsi="Times New Roman"/>
          <w:sz w:val="24"/>
          <w:szCs w:val="24"/>
        </w:rPr>
        <w:t xml:space="preserve">required to provide notice to prominent media outlets serving the State or jurisdiction.  Covered Entities will likely provide this notification in the form of a press release to appropriate media outlets serving the affected </w:t>
      </w:r>
      <w:r w:rsidR="003B54FE">
        <w:rPr>
          <w:rFonts w:ascii="Times New Roman" w:hAnsi="Times New Roman"/>
          <w:sz w:val="24"/>
          <w:szCs w:val="24"/>
        </w:rPr>
        <w:t>area.  T</w:t>
      </w:r>
      <w:r w:rsidR="007C2340">
        <w:rPr>
          <w:rFonts w:ascii="Times New Roman" w:hAnsi="Times New Roman"/>
          <w:sz w:val="24"/>
          <w:szCs w:val="24"/>
        </w:rPr>
        <w:t>he media notification obligation is met when notice to the media is provided; it does not matter whether or not the media outlet chooses to report on the notification.</w:t>
      </w:r>
      <w:r w:rsidR="003B54FE">
        <w:rPr>
          <w:rFonts w:ascii="Times New Roman" w:hAnsi="Times New Roman"/>
          <w:sz w:val="24"/>
          <w:szCs w:val="24"/>
        </w:rPr>
        <w:t xml:space="preserve">  </w:t>
      </w:r>
      <w:r w:rsidR="003B54FE" w:rsidRPr="003B54FE">
        <w:rPr>
          <w:rFonts w:ascii="Times New Roman" w:hAnsi="Times New Roman"/>
          <w:b/>
          <w:i/>
          <w:sz w:val="24"/>
          <w:szCs w:val="24"/>
        </w:rPr>
        <w:t xml:space="preserve">The </w:t>
      </w:r>
      <w:r w:rsidR="007C2340" w:rsidRPr="003B54FE">
        <w:rPr>
          <w:rFonts w:ascii="Times New Roman" w:hAnsi="Times New Roman"/>
          <w:b/>
          <w:i/>
          <w:sz w:val="24"/>
          <w:szCs w:val="24"/>
        </w:rPr>
        <w:t>media notification</w:t>
      </w:r>
      <w:r w:rsidR="003B54FE" w:rsidRPr="003B54FE">
        <w:rPr>
          <w:rFonts w:ascii="Times New Roman" w:hAnsi="Times New Roman"/>
          <w:b/>
          <w:i/>
          <w:sz w:val="24"/>
          <w:szCs w:val="24"/>
        </w:rPr>
        <w:t>, if required,</w:t>
      </w:r>
      <w:r w:rsidR="007C2340" w:rsidRPr="003B54FE">
        <w:rPr>
          <w:rFonts w:ascii="Times New Roman" w:hAnsi="Times New Roman"/>
          <w:b/>
          <w:i/>
          <w:sz w:val="24"/>
          <w:szCs w:val="24"/>
        </w:rPr>
        <w:t xml:space="preserve"> must be provided without unreasonable delay and in no case later than 60 days following the discovery of a Breach and must include the same information required for the individual notice.  Notices to the media should be provided contemporaneously with those to the affected individuals.</w:t>
      </w:r>
    </w:p>
    <w:p w:rsidR="003B54FE" w:rsidRPr="00A84004" w:rsidRDefault="0058697F" w:rsidP="00990C06">
      <w:pPr>
        <w:spacing w:after="240"/>
        <w:jc w:val="both"/>
        <w:rPr>
          <w:rFonts w:ascii="Times New Roman" w:hAnsi="Times New Roman"/>
          <w:sz w:val="24"/>
          <w:szCs w:val="24"/>
        </w:rPr>
      </w:pPr>
      <w:r w:rsidRPr="00DB0003">
        <w:rPr>
          <w:rFonts w:ascii="Times New Roman" w:hAnsi="Times New Roman"/>
          <w:b/>
          <w:sz w:val="24"/>
          <w:szCs w:val="24"/>
        </w:rPr>
        <w:lastRenderedPageBreak/>
        <w:t>PRACTICAL TIP:</w:t>
      </w:r>
      <w:r>
        <w:rPr>
          <w:rFonts w:ascii="Times New Roman" w:hAnsi="Times New Roman"/>
          <w:sz w:val="24"/>
          <w:szCs w:val="24"/>
        </w:rPr>
        <w:t xml:space="preserve">  As soon as you have determined the discovery date, make a timeline for your incident response team</w:t>
      </w:r>
      <w:r w:rsidR="00F26D03">
        <w:rPr>
          <w:rFonts w:ascii="Times New Roman" w:hAnsi="Times New Roman"/>
          <w:sz w:val="24"/>
          <w:szCs w:val="24"/>
        </w:rPr>
        <w:t xml:space="preserve"> and determine as soon as possible if substitute notice or media notice is required.</w:t>
      </w:r>
      <w:r w:rsidR="0047220C">
        <w:rPr>
          <w:rFonts w:ascii="Times New Roman" w:hAnsi="Times New Roman"/>
          <w:sz w:val="24"/>
          <w:szCs w:val="24"/>
        </w:rPr>
        <w:t xml:space="preserve">  If you decide to use an outside vendor to handle the notification process, build in sufficient time to engage the vendor and get the patient list and documentation in final form (</w:t>
      </w:r>
      <w:r w:rsidR="0047220C" w:rsidRPr="0047220C">
        <w:rPr>
          <w:rFonts w:ascii="Times New Roman" w:hAnsi="Times New Roman"/>
          <w:i/>
          <w:sz w:val="24"/>
          <w:szCs w:val="24"/>
        </w:rPr>
        <w:t>e.g.</w:t>
      </w:r>
      <w:r w:rsidR="0047220C">
        <w:rPr>
          <w:rFonts w:ascii="Times New Roman" w:hAnsi="Times New Roman"/>
          <w:sz w:val="24"/>
          <w:szCs w:val="24"/>
        </w:rPr>
        <w:t xml:space="preserve">, several vendors require 3-5 business days after the patient list is uploaded and the breach template letters are finalized to send the notifications). </w:t>
      </w:r>
      <w:r w:rsidR="003B54FE" w:rsidRPr="00A84004">
        <w:rPr>
          <w:rFonts w:ascii="Times New Roman" w:hAnsi="Times New Roman"/>
          <w:sz w:val="24"/>
          <w:szCs w:val="24"/>
        </w:rPr>
        <w:t xml:space="preserve"> </w:t>
      </w:r>
    </w:p>
    <w:p w:rsidR="00A032D0" w:rsidRDefault="00164A9E" w:rsidP="00990C06">
      <w:pPr>
        <w:spacing w:after="240"/>
        <w:jc w:val="both"/>
        <w:rPr>
          <w:rFonts w:ascii="Times New Roman" w:hAnsi="Times New Roman"/>
          <w:b/>
          <w:sz w:val="24"/>
          <w:szCs w:val="24"/>
        </w:rPr>
      </w:pPr>
      <w:r>
        <w:rPr>
          <w:rFonts w:ascii="Times New Roman" w:hAnsi="Times New Roman"/>
          <w:b/>
          <w:sz w:val="24"/>
          <w:szCs w:val="24"/>
        </w:rPr>
        <w:t>III</w:t>
      </w:r>
      <w:r w:rsidR="00F26D03">
        <w:rPr>
          <w:rFonts w:ascii="Times New Roman" w:hAnsi="Times New Roman"/>
          <w:b/>
          <w:sz w:val="24"/>
          <w:szCs w:val="24"/>
        </w:rPr>
        <w:t>.</w:t>
      </w:r>
      <w:r w:rsidR="00F26D03">
        <w:rPr>
          <w:rFonts w:ascii="Times New Roman" w:hAnsi="Times New Roman"/>
          <w:b/>
          <w:sz w:val="24"/>
          <w:szCs w:val="24"/>
        </w:rPr>
        <w:tab/>
      </w:r>
      <w:r w:rsidR="00717938" w:rsidRPr="00717938">
        <w:rPr>
          <w:rFonts w:ascii="Times New Roman" w:hAnsi="Times New Roman"/>
          <w:b/>
          <w:sz w:val="24"/>
          <w:szCs w:val="24"/>
          <w:u w:val="single"/>
        </w:rPr>
        <w:t xml:space="preserve">Preparing for </w:t>
      </w:r>
      <w:r w:rsidR="00A032D0" w:rsidRPr="00717938">
        <w:rPr>
          <w:rFonts w:ascii="Times New Roman" w:hAnsi="Times New Roman"/>
          <w:b/>
          <w:sz w:val="24"/>
          <w:szCs w:val="24"/>
          <w:u w:val="single"/>
        </w:rPr>
        <w:t>O</w:t>
      </w:r>
      <w:r w:rsidR="00A032D0" w:rsidRPr="00412390">
        <w:rPr>
          <w:rFonts w:ascii="Times New Roman" w:hAnsi="Times New Roman"/>
          <w:b/>
          <w:sz w:val="24"/>
          <w:szCs w:val="24"/>
          <w:u w:val="single"/>
        </w:rPr>
        <w:t>CR Compliance Review</w:t>
      </w:r>
    </w:p>
    <w:p w:rsidR="00594D9D" w:rsidRPr="00A032D0" w:rsidRDefault="00F26D03" w:rsidP="00594D9D">
      <w:pPr>
        <w:jc w:val="both"/>
        <w:rPr>
          <w:rFonts w:ascii="Times New Roman" w:hAnsi="Times New Roman"/>
          <w:sz w:val="24"/>
          <w:szCs w:val="24"/>
        </w:rPr>
      </w:pPr>
      <w:r>
        <w:rPr>
          <w:rFonts w:ascii="Times New Roman" w:hAnsi="Times New Roman"/>
          <w:sz w:val="24"/>
          <w:szCs w:val="24"/>
        </w:rPr>
        <w:t>After you report a Breach, OCR may perform a compliance review.  D</w:t>
      </w:r>
      <w:r w:rsidR="00A84004">
        <w:rPr>
          <w:rFonts w:ascii="Times New Roman" w:hAnsi="Times New Roman"/>
          <w:sz w:val="24"/>
          <w:szCs w:val="24"/>
        </w:rPr>
        <w:t>ue to a new intake process at OCR, it could be handled by any regional office.</w:t>
      </w:r>
    </w:p>
    <w:p w:rsidR="00594D9D" w:rsidRDefault="00594D9D" w:rsidP="00BA0ADF">
      <w:pPr>
        <w:jc w:val="both"/>
        <w:rPr>
          <w:rFonts w:ascii="Times New Roman" w:hAnsi="Times New Roman"/>
          <w:sz w:val="24"/>
          <w:szCs w:val="24"/>
        </w:rPr>
      </w:pPr>
    </w:p>
    <w:p w:rsidR="00F26D03" w:rsidRPr="00F26D03" w:rsidRDefault="00A032D0" w:rsidP="00F26D03">
      <w:pPr>
        <w:jc w:val="both"/>
        <w:rPr>
          <w:rFonts w:ascii="Times New Roman" w:hAnsi="Times New Roman"/>
          <w:sz w:val="24"/>
          <w:szCs w:val="24"/>
        </w:rPr>
      </w:pPr>
      <w:r w:rsidRPr="00F26D03">
        <w:rPr>
          <w:rFonts w:ascii="Times New Roman" w:hAnsi="Times New Roman"/>
          <w:sz w:val="24"/>
          <w:szCs w:val="24"/>
        </w:rPr>
        <w:t xml:space="preserve">For each Breach report involving 500 or more </w:t>
      </w:r>
      <w:r w:rsidR="00F62619" w:rsidRPr="00F26D03">
        <w:rPr>
          <w:rFonts w:ascii="Times New Roman" w:hAnsi="Times New Roman"/>
          <w:sz w:val="24"/>
          <w:szCs w:val="24"/>
        </w:rPr>
        <w:t>affected</w:t>
      </w:r>
      <w:r w:rsidRPr="00F26D03">
        <w:rPr>
          <w:rFonts w:ascii="Times New Roman" w:hAnsi="Times New Roman"/>
          <w:sz w:val="24"/>
          <w:szCs w:val="24"/>
        </w:rPr>
        <w:t xml:space="preserve"> individuals, </w:t>
      </w:r>
      <w:r w:rsidR="00594D9D" w:rsidRPr="00F26D03">
        <w:rPr>
          <w:rFonts w:ascii="Times New Roman" w:hAnsi="Times New Roman"/>
          <w:sz w:val="24"/>
          <w:szCs w:val="24"/>
        </w:rPr>
        <w:t xml:space="preserve">OCR </w:t>
      </w:r>
      <w:r w:rsidR="00F26D03" w:rsidRPr="00F26D03">
        <w:rPr>
          <w:rFonts w:ascii="Times New Roman" w:hAnsi="Times New Roman"/>
          <w:sz w:val="24"/>
          <w:szCs w:val="24"/>
        </w:rPr>
        <w:t xml:space="preserve">automatically </w:t>
      </w:r>
      <w:r w:rsidRPr="00F26D03">
        <w:rPr>
          <w:rFonts w:ascii="Times New Roman" w:hAnsi="Times New Roman"/>
          <w:sz w:val="24"/>
          <w:szCs w:val="24"/>
        </w:rPr>
        <w:t>opens a compliance review.</w:t>
      </w:r>
      <w:r w:rsidR="00F26D03" w:rsidRPr="00F26D03">
        <w:rPr>
          <w:rFonts w:ascii="Times New Roman" w:hAnsi="Times New Roman"/>
          <w:sz w:val="24"/>
          <w:szCs w:val="24"/>
        </w:rPr>
        <w:t xml:space="preserve">  In August 2016, OCR announced that it was also going to begin investigating breaches af</w:t>
      </w:r>
      <w:r w:rsidR="00C32F25">
        <w:rPr>
          <w:rFonts w:ascii="Times New Roman" w:hAnsi="Times New Roman"/>
          <w:sz w:val="24"/>
          <w:szCs w:val="24"/>
        </w:rPr>
        <w:t>fecting under 500 individuals (“Under 500 Breaches”</w:t>
      </w:r>
      <w:r w:rsidR="00F26D03" w:rsidRPr="00F26D03">
        <w:rPr>
          <w:rFonts w:ascii="Times New Roman" w:hAnsi="Times New Roman"/>
          <w:sz w:val="24"/>
          <w:szCs w:val="24"/>
        </w:rPr>
        <w:t>).  As part of this new initiative,</w:t>
      </w:r>
      <w:r w:rsidR="00586527">
        <w:rPr>
          <w:rFonts w:ascii="Times New Roman" w:hAnsi="Times New Roman"/>
          <w:sz w:val="24"/>
          <w:szCs w:val="24"/>
        </w:rPr>
        <w:t xml:space="preserve"> we understand that each of OCR’</w:t>
      </w:r>
      <w:r w:rsidR="00F26D03" w:rsidRPr="00F26D03">
        <w:rPr>
          <w:rFonts w:ascii="Times New Roman" w:hAnsi="Times New Roman"/>
          <w:sz w:val="24"/>
          <w:szCs w:val="24"/>
        </w:rPr>
        <w:t>s regional offices has been instructed to investigate a certain number of Under 500 Breaches, and it appears those investigations have begun.  Over the past few month</w:t>
      </w:r>
      <w:r w:rsidR="00DE56C9">
        <w:rPr>
          <w:rFonts w:ascii="Times New Roman" w:hAnsi="Times New Roman"/>
          <w:sz w:val="24"/>
          <w:szCs w:val="24"/>
        </w:rPr>
        <w:t>s</w:t>
      </w:r>
      <w:r w:rsidR="00F26D03" w:rsidRPr="00F26D03">
        <w:rPr>
          <w:rFonts w:ascii="Times New Roman" w:hAnsi="Times New Roman"/>
          <w:sz w:val="24"/>
          <w:szCs w:val="24"/>
        </w:rPr>
        <w:t xml:space="preserve">, some of our clients have received data requests about Under 500 Breaches they reported in 2015, and OCR seems to be using these investigations to perform </w:t>
      </w:r>
      <w:r w:rsidR="00C32F25">
        <w:rPr>
          <w:rFonts w:ascii="Times New Roman" w:hAnsi="Times New Roman"/>
          <w:sz w:val="24"/>
          <w:szCs w:val="24"/>
        </w:rPr>
        <w:t>“</w:t>
      </w:r>
      <w:r w:rsidR="00F26D03" w:rsidRPr="00F26D03">
        <w:rPr>
          <w:rFonts w:ascii="Times New Roman" w:hAnsi="Times New Roman"/>
          <w:sz w:val="24"/>
          <w:szCs w:val="24"/>
        </w:rPr>
        <w:t xml:space="preserve">compliance checks” – delving into HIPAA compliance areas unrelated to the areas/issues that caused or relate to the Under 500 Breaches that triggered the review.  According to OCR, when determining whether to investigate Under 500 Breaches, it may consider the number of individuals affected by the breach; the amount and type of PHI involved; breaches caused by theft or improper disposal of PHI; hacking incidents; or entities that have filed numerous Under 500 Breaches involving the same types of issues.  Thus, we believe any entity that reported Under 500 Breaches that fit or highlight these focus areas should be prepared for an OCR compliance review. </w:t>
      </w:r>
      <w:r w:rsidR="00672F7D">
        <w:rPr>
          <w:rFonts w:ascii="Times New Roman" w:hAnsi="Times New Roman"/>
          <w:sz w:val="24"/>
          <w:szCs w:val="24"/>
        </w:rPr>
        <w:t xml:space="preserve"> </w:t>
      </w:r>
      <w:r w:rsidR="00F26D03" w:rsidRPr="00F26D03">
        <w:rPr>
          <w:rFonts w:ascii="Times New Roman" w:hAnsi="Times New Roman"/>
          <w:sz w:val="24"/>
          <w:szCs w:val="24"/>
        </w:rPr>
        <w:t>An OCR compliance review may also be opened aft</w:t>
      </w:r>
      <w:r w:rsidR="00D87226">
        <w:rPr>
          <w:rFonts w:ascii="Times New Roman" w:hAnsi="Times New Roman"/>
          <w:sz w:val="24"/>
          <w:szCs w:val="24"/>
        </w:rPr>
        <w:t xml:space="preserve">er receiving a complaint from an </w:t>
      </w:r>
      <w:r w:rsidR="00F26D03" w:rsidRPr="00F26D03">
        <w:rPr>
          <w:rFonts w:ascii="Times New Roman" w:hAnsi="Times New Roman"/>
          <w:sz w:val="24"/>
          <w:szCs w:val="24"/>
        </w:rPr>
        <w:t>affected p</w:t>
      </w:r>
      <w:r w:rsidR="00D87226">
        <w:rPr>
          <w:rFonts w:ascii="Times New Roman" w:hAnsi="Times New Roman"/>
          <w:sz w:val="24"/>
          <w:szCs w:val="24"/>
        </w:rPr>
        <w:t xml:space="preserve">atient or another third-party, </w:t>
      </w:r>
      <w:r w:rsidR="00F26D03" w:rsidRPr="00F26D03">
        <w:rPr>
          <w:rFonts w:ascii="Times New Roman" w:hAnsi="Times New Roman"/>
          <w:sz w:val="24"/>
          <w:szCs w:val="24"/>
        </w:rPr>
        <w:t>such as the media.</w:t>
      </w:r>
    </w:p>
    <w:p w:rsidR="00F26D03" w:rsidRDefault="00F26D03" w:rsidP="00A032D0">
      <w:pPr>
        <w:jc w:val="both"/>
        <w:rPr>
          <w:rFonts w:ascii="Times New Roman" w:hAnsi="Times New Roman"/>
          <w:sz w:val="24"/>
          <w:szCs w:val="24"/>
        </w:rPr>
      </w:pPr>
    </w:p>
    <w:p w:rsidR="00D87226" w:rsidRDefault="00F26D03" w:rsidP="00A032D0">
      <w:pPr>
        <w:jc w:val="both"/>
        <w:rPr>
          <w:rFonts w:ascii="Times New Roman" w:hAnsi="Times New Roman"/>
          <w:sz w:val="24"/>
          <w:szCs w:val="24"/>
        </w:rPr>
      </w:pPr>
      <w:r>
        <w:rPr>
          <w:rFonts w:ascii="Times New Roman" w:hAnsi="Times New Roman"/>
          <w:sz w:val="24"/>
          <w:szCs w:val="24"/>
        </w:rPr>
        <w:t>Once a compliance review is opened, a</w:t>
      </w:r>
      <w:r w:rsidR="006D7799">
        <w:rPr>
          <w:rFonts w:ascii="Times New Roman" w:hAnsi="Times New Roman"/>
          <w:sz w:val="24"/>
          <w:szCs w:val="24"/>
        </w:rPr>
        <w:t xml:space="preserve"> Covered Entity</w:t>
      </w:r>
      <w:r w:rsidR="00374592">
        <w:rPr>
          <w:rFonts w:ascii="Times New Roman" w:hAnsi="Times New Roman"/>
          <w:sz w:val="24"/>
          <w:szCs w:val="24"/>
        </w:rPr>
        <w:t xml:space="preserve"> or Business Associate</w:t>
      </w:r>
      <w:r w:rsidR="006D7799">
        <w:rPr>
          <w:rFonts w:ascii="Times New Roman" w:hAnsi="Times New Roman"/>
          <w:sz w:val="24"/>
          <w:szCs w:val="24"/>
        </w:rPr>
        <w:t xml:space="preserve"> </w:t>
      </w:r>
      <w:r w:rsidR="00A84004">
        <w:rPr>
          <w:rFonts w:ascii="Times New Roman" w:hAnsi="Times New Roman"/>
          <w:sz w:val="24"/>
          <w:szCs w:val="24"/>
        </w:rPr>
        <w:t xml:space="preserve">(specifically, the individual identified on the OCR breach report) </w:t>
      </w:r>
      <w:r w:rsidR="006D7799">
        <w:rPr>
          <w:rFonts w:ascii="Times New Roman" w:hAnsi="Times New Roman"/>
          <w:sz w:val="24"/>
          <w:szCs w:val="24"/>
        </w:rPr>
        <w:t xml:space="preserve">usually </w:t>
      </w:r>
      <w:r w:rsidR="00A032D0" w:rsidRPr="00A032D0">
        <w:rPr>
          <w:rFonts w:ascii="Times New Roman" w:hAnsi="Times New Roman"/>
          <w:sz w:val="24"/>
          <w:szCs w:val="24"/>
        </w:rPr>
        <w:t>receive</w:t>
      </w:r>
      <w:r w:rsidR="006D7799">
        <w:rPr>
          <w:rFonts w:ascii="Times New Roman" w:hAnsi="Times New Roman"/>
          <w:sz w:val="24"/>
          <w:szCs w:val="24"/>
        </w:rPr>
        <w:t>s</w:t>
      </w:r>
      <w:r w:rsidR="00A032D0" w:rsidRPr="00A032D0">
        <w:rPr>
          <w:rFonts w:ascii="Times New Roman" w:hAnsi="Times New Roman"/>
          <w:sz w:val="24"/>
          <w:szCs w:val="24"/>
        </w:rPr>
        <w:t xml:space="preserve"> an initial call from an OCR in</w:t>
      </w:r>
      <w:r w:rsidR="006D7799">
        <w:rPr>
          <w:rFonts w:ascii="Times New Roman" w:hAnsi="Times New Roman"/>
          <w:sz w:val="24"/>
          <w:szCs w:val="24"/>
        </w:rPr>
        <w:t xml:space="preserve">vestigator within </w:t>
      </w:r>
      <w:r w:rsidR="00A032D0" w:rsidRPr="00A032D0">
        <w:rPr>
          <w:rFonts w:ascii="Times New Roman" w:hAnsi="Times New Roman"/>
          <w:sz w:val="24"/>
          <w:szCs w:val="24"/>
        </w:rPr>
        <w:t>two</w:t>
      </w:r>
      <w:r w:rsidR="006D7799">
        <w:rPr>
          <w:rFonts w:ascii="Times New Roman" w:hAnsi="Times New Roman"/>
          <w:sz w:val="24"/>
          <w:szCs w:val="24"/>
        </w:rPr>
        <w:t xml:space="preserve"> </w:t>
      </w:r>
      <w:r w:rsidR="00A032D0" w:rsidRPr="00A032D0">
        <w:rPr>
          <w:rFonts w:ascii="Times New Roman" w:hAnsi="Times New Roman"/>
          <w:sz w:val="24"/>
          <w:szCs w:val="24"/>
        </w:rPr>
        <w:t xml:space="preserve">weeks </w:t>
      </w:r>
      <w:r w:rsidR="006D7799">
        <w:rPr>
          <w:rFonts w:ascii="Times New Roman" w:hAnsi="Times New Roman"/>
          <w:sz w:val="24"/>
          <w:szCs w:val="24"/>
        </w:rPr>
        <w:t xml:space="preserve">(or, in some cases, within a day or two) of submitting the </w:t>
      </w:r>
      <w:r w:rsidR="00A032D0" w:rsidRPr="00A032D0">
        <w:rPr>
          <w:rFonts w:ascii="Times New Roman" w:hAnsi="Times New Roman"/>
          <w:sz w:val="24"/>
          <w:szCs w:val="24"/>
        </w:rPr>
        <w:t>report.  The purpose of this call is</w:t>
      </w:r>
      <w:r w:rsidR="00B63D93">
        <w:rPr>
          <w:rFonts w:ascii="Times New Roman" w:hAnsi="Times New Roman"/>
          <w:sz w:val="24"/>
          <w:szCs w:val="24"/>
        </w:rPr>
        <w:t xml:space="preserve"> to</w:t>
      </w:r>
      <w:r w:rsidR="00A032D0" w:rsidRPr="00A032D0">
        <w:rPr>
          <w:rFonts w:ascii="Times New Roman" w:hAnsi="Times New Roman"/>
          <w:sz w:val="24"/>
          <w:szCs w:val="24"/>
        </w:rPr>
        <w:t xml:space="preserve"> ensure that the information submitted i</w:t>
      </w:r>
      <w:r w:rsidR="006D7799">
        <w:rPr>
          <w:rFonts w:ascii="Times New Roman" w:hAnsi="Times New Roman"/>
          <w:sz w:val="24"/>
          <w:szCs w:val="24"/>
        </w:rPr>
        <w:t xml:space="preserve">n the initial report is </w:t>
      </w:r>
      <w:r w:rsidR="00A032D0" w:rsidRPr="00A032D0">
        <w:rPr>
          <w:rFonts w:ascii="Times New Roman" w:hAnsi="Times New Roman"/>
          <w:sz w:val="24"/>
          <w:szCs w:val="24"/>
        </w:rPr>
        <w:t>accurate.  Follow</w:t>
      </w:r>
      <w:r w:rsidR="006D7799">
        <w:rPr>
          <w:rFonts w:ascii="Times New Roman" w:hAnsi="Times New Roman"/>
          <w:sz w:val="24"/>
          <w:szCs w:val="24"/>
        </w:rPr>
        <w:t xml:space="preserve">ing the call, OCR will send the </w:t>
      </w:r>
      <w:r w:rsidR="00672F7D">
        <w:rPr>
          <w:rFonts w:ascii="Times New Roman" w:hAnsi="Times New Roman"/>
          <w:sz w:val="24"/>
          <w:szCs w:val="24"/>
        </w:rPr>
        <w:t>entity</w:t>
      </w:r>
      <w:r w:rsidR="006D7799">
        <w:rPr>
          <w:rFonts w:ascii="Times New Roman" w:hAnsi="Times New Roman"/>
          <w:sz w:val="24"/>
          <w:szCs w:val="24"/>
        </w:rPr>
        <w:t xml:space="preserve"> </w:t>
      </w:r>
      <w:r w:rsidR="00A032D0" w:rsidRPr="00A032D0">
        <w:rPr>
          <w:rFonts w:ascii="Times New Roman" w:hAnsi="Times New Roman"/>
          <w:sz w:val="24"/>
          <w:szCs w:val="24"/>
        </w:rPr>
        <w:t>a letter and document request</w:t>
      </w:r>
      <w:r w:rsidR="00B63D93">
        <w:rPr>
          <w:rFonts w:ascii="Times New Roman" w:hAnsi="Times New Roman"/>
          <w:sz w:val="24"/>
          <w:szCs w:val="24"/>
        </w:rPr>
        <w:t xml:space="preserve"> list</w:t>
      </w:r>
      <w:r w:rsidR="00A032D0" w:rsidRPr="00A032D0">
        <w:rPr>
          <w:rFonts w:ascii="Times New Roman" w:hAnsi="Times New Roman"/>
          <w:sz w:val="24"/>
          <w:szCs w:val="24"/>
        </w:rPr>
        <w:t xml:space="preserve"> to initiate the formal investigation</w:t>
      </w:r>
      <w:r w:rsidR="00B63D93">
        <w:rPr>
          <w:rFonts w:ascii="Times New Roman" w:hAnsi="Times New Roman"/>
          <w:sz w:val="24"/>
          <w:szCs w:val="24"/>
        </w:rPr>
        <w:t xml:space="preserve">.  </w:t>
      </w:r>
      <w:r w:rsidR="00BA0ADF">
        <w:rPr>
          <w:rFonts w:ascii="Times New Roman" w:hAnsi="Times New Roman"/>
          <w:sz w:val="24"/>
          <w:szCs w:val="24"/>
        </w:rPr>
        <w:t xml:space="preserve">The timing </w:t>
      </w:r>
      <w:r w:rsidR="00A032D0" w:rsidRPr="00A032D0">
        <w:rPr>
          <w:rFonts w:ascii="Times New Roman" w:hAnsi="Times New Roman"/>
          <w:sz w:val="24"/>
          <w:szCs w:val="24"/>
        </w:rPr>
        <w:t>m</w:t>
      </w:r>
      <w:r w:rsidR="006D7799">
        <w:rPr>
          <w:rFonts w:ascii="Times New Roman" w:hAnsi="Times New Roman"/>
          <w:sz w:val="24"/>
          <w:szCs w:val="24"/>
        </w:rPr>
        <w:t xml:space="preserve">ay vary, but </w:t>
      </w:r>
      <w:r w:rsidR="00BA0ADF">
        <w:rPr>
          <w:rFonts w:ascii="Times New Roman" w:hAnsi="Times New Roman"/>
          <w:sz w:val="24"/>
          <w:szCs w:val="24"/>
        </w:rPr>
        <w:t xml:space="preserve">OCR tends to send the </w:t>
      </w:r>
      <w:r w:rsidR="00F62619">
        <w:rPr>
          <w:rFonts w:ascii="Times New Roman" w:hAnsi="Times New Roman"/>
          <w:sz w:val="24"/>
          <w:szCs w:val="24"/>
        </w:rPr>
        <w:t>letter</w:t>
      </w:r>
      <w:r w:rsidR="00BA0ADF">
        <w:rPr>
          <w:rFonts w:ascii="Times New Roman" w:hAnsi="Times New Roman"/>
          <w:sz w:val="24"/>
          <w:szCs w:val="24"/>
        </w:rPr>
        <w:t xml:space="preserve"> and document request list </w:t>
      </w:r>
      <w:r w:rsidR="00A032D0" w:rsidRPr="00A032D0">
        <w:rPr>
          <w:rFonts w:ascii="Times New Roman" w:hAnsi="Times New Roman"/>
          <w:sz w:val="24"/>
          <w:szCs w:val="24"/>
        </w:rPr>
        <w:t>within two weeks of the initi</w:t>
      </w:r>
      <w:r w:rsidR="006D7799">
        <w:rPr>
          <w:rFonts w:ascii="Times New Roman" w:hAnsi="Times New Roman"/>
          <w:sz w:val="24"/>
          <w:szCs w:val="24"/>
        </w:rPr>
        <w:t xml:space="preserve">al call.  The investigator on the initial call may offer </w:t>
      </w:r>
      <w:r w:rsidR="00A032D0" w:rsidRPr="00A032D0">
        <w:rPr>
          <w:rFonts w:ascii="Times New Roman" w:hAnsi="Times New Roman"/>
          <w:sz w:val="24"/>
          <w:szCs w:val="24"/>
        </w:rPr>
        <w:t>spec</w:t>
      </w:r>
      <w:r w:rsidR="00BB6224">
        <w:rPr>
          <w:rFonts w:ascii="Times New Roman" w:hAnsi="Times New Roman"/>
          <w:sz w:val="24"/>
          <w:szCs w:val="24"/>
        </w:rPr>
        <w:t xml:space="preserve">ific information as to when an entity </w:t>
      </w:r>
      <w:r w:rsidR="006D7799">
        <w:rPr>
          <w:rFonts w:ascii="Times New Roman" w:hAnsi="Times New Roman"/>
          <w:sz w:val="24"/>
          <w:szCs w:val="24"/>
        </w:rPr>
        <w:t xml:space="preserve">can </w:t>
      </w:r>
      <w:r w:rsidR="00F65865">
        <w:rPr>
          <w:rFonts w:ascii="Times New Roman" w:hAnsi="Times New Roman"/>
          <w:sz w:val="24"/>
          <w:szCs w:val="24"/>
        </w:rPr>
        <w:t>expect the formal investigation letter and document request</w:t>
      </w:r>
      <w:r w:rsidR="00BA0ADF">
        <w:rPr>
          <w:rFonts w:ascii="Times New Roman" w:hAnsi="Times New Roman"/>
          <w:sz w:val="24"/>
          <w:szCs w:val="24"/>
        </w:rPr>
        <w:t>.</w:t>
      </w:r>
      <w:r w:rsidR="0044113D">
        <w:rPr>
          <w:rFonts w:ascii="Times New Roman" w:hAnsi="Times New Roman"/>
          <w:sz w:val="24"/>
          <w:szCs w:val="24"/>
        </w:rPr>
        <w:t xml:space="preserve"> </w:t>
      </w:r>
    </w:p>
    <w:p w:rsidR="00B83B08" w:rsidRDefault="00B83B08" w:rsidP="00A032D0">
      <w:pPr>
        <w:jc w:val="both"/>
        <w:rPr>
          <w:rFonts w:ascii="Times New Roman" w:hAnsi="Times New Roman"/>
          <w:sz w:val="24"/>
          <w:szCs w:val="24"/>
        </w:rPr>
      </w:pPr>
    </w:p>
    <w:p w:rsidR="00201A13" w:rsidRDefault="00201A13" w:rsidP="00A032D0">
      <w:pPr>
        <w:jc w:val="both"/>
        <w:rPr>
          <w:rFonts w:ascii="Times New Roman" w:hAnsi="Times New Roman"/>
          <w:sz w:val="24"/>
          <w:szCs w:val="24"/>
        </w:rPr>
      </w:pPr>
      <w:r>
        <w:rPr>
          <w:rFonts w:ascii="Times New Roman" w:hAnsi="Times New Roman"/>
          <w:sz w:val="24"/>
          <w:szCs w:val="24"/>
        </w:rPr>
        <w:t xml:space="preserve">Although </w:t>
      </w:r>
      <w:r w:rsidR="00DF75C5">
        <w:rPr>
          <w:rFonts w:ascii="Times New Roman" w:hAnsi="Times New Roman"/>
          <w:sz w:val="24"/>
          <w:szCs w:val="24"/>
        </w:rPr>
        <w:t xml:space="preserve">OCR’s document requests vary </w:t>
      </w:r>
      <w:r w:rsidR="00C32F25">
        <w:rPr>
          <w:rFonts w:ascii="Times New Roman" w:hAnsi="Times New Roman"/>
          <w:sz w:val="24"/>
          <w:szCs w:val="24"/>
        </w:rPr>
        <w:t>depending</w:t>
      </w:r>
      <w:r>
        <w:rPr>
          <w:rFonts w:ascii="Times New Roman" w:hAnsi="Times New Roman"/>
          <w:sz w:val="24"/>
          <w:szCs w:val="24"/>
        </w:rPr>
        <w:t xml:space="preserve"> on the type of incident at issue, </w:t>
      </w:r>
      <w:r w:rsidR="00DF75C5">
        <w:rPr>
          <w:rFonts w:ascii="Times New Roman" w:hAnsi="Times New Roman"/>
          <w:sz w:val="24"/>
          <w:szCs w:val="24"/>
        </w:rPr>
        <w:t>be prepared to submit the following</w:t>
      </w:r>
      <w:r>
        <w:rPr>
          <w:rFonts w:ascii="Times New Roman" w:hAnsi="Times New Roman"/>
          <w:sz w:val="24"/>
          <w:szCs w:val="24"/>
        </w:rPr>
        <w:t>:</w:t>
      </w:r>
    </w:p>
    <w:p w:rsidR="004841A9" w:rsidRDefault="004841A9" w:rsidP="00A032D0">
      <w:pPr>
        <w:jc w:val="both"/>
        <w:rPr>
          <w:rFonts w:ascii="Times New Roman" w:hAnsi="Times New Roman"/>
          <w:sz w:val="24"/>
          <w:szCs w:val="24"/>
        </w:rPr>
      </w:pPr>
    </w:p>
    <w:p w:rsidR="00B83B08" w:rsidRDefault="00201A13"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Position statement</w:t>
      </w:r>
      <w:r w:rsidR="00894D71">
        <w:rPr>
          <w:rFonts w:ascii="Times New Roman" w:hAnsi="Times New Roman"/>
          <w:sz w:val="24"/>
          <w:szCs w:val="24"/>
        </w:rPr>
        <w:t xml:space="preserve"> regarding the incident </w:t>
      </w:r>
    </w:p>
    <w:p w:rsidR="00201A13" w:rsidRDefault="00201A13"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Risk analysis </w:t>
      </w:r>
    </w:p>
    <w:p w:rsidR="00201A13" w:rsidRDefault="00201A13"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Risk management plan </w:t>
      </w:r>
    </w:p>
    <w:p w:rsidR="00201A13" w:rsidRDefault="00201A13"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lastRenderedPageBreak/>
        <w:t>Evidence of implemented security measures (</w:t>
      </w:r>
      <w:r w:rsidRPr="001E4FC1">
        <w:rPr>
          <w:rFonts w:ascii="Times New Roman" w:hAnsi="Times New Roman"/>
          <w:i/>
          <w:sz w:val="24"/>
          <w:szCs w:val="24"/>
        </w:rPr>
        <w:t>e.g.</w:t>
      </w:r>
      <w:r>
        <w:rPr>
          <w:rFonts w:ascii="Times New Roman" w:hAnsi="Times New Roman"/>
          <w:sz w:val="24"/>
          <w:szCs w:val="24"/>
        </w:rPr>
        <w:t>, configuration settings, invoices, screenshots, etc.)</w:t>
      </w:r>
    </w:p>
    <w:p w:rsidR="00201A13" w:rsidRDefault="005240CE"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Evidence of training (</w:t>
      </w:r>
      <w:r w:rsidRPr="001E4FC1">
        <w:rPr>
          <w:rFonts w:ascii="Times New Roman" w:hAnsi="Times New Roman"/>
          <w:i/>
          <w:sz w:val="24"/>
          <w:szCs w:val="24"/>
        </w:rPr>
        <w:t>e.g.</w:t>
      </w:r>
      <w:r>
        <w:rPr>
          <w:rFonts w:ascii="Times New Roman" w:hAnsi="Times New Roman"/>
          <w:sz w:val="24"/>
          <w:szCs w:val="24"/>
        </w:rPr>
        <w:t>, copies of training materials and attendance records)</w:t>
      </w:r>
    </w:p>
    <w:p w:rsidR="005240CE" w:rsidRDefault="000075AE"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Relevant pol</w:t>
      </w:r>
      <w:r w:rsidR="005240CE">
        <w:rPr>
          <w:rFonts w:ascii="Times New Roman" w:hAnsi="Times New Roman"/>
          <w:sz w:val="24"/>
          <w:szCs w:val="24"/>
        </w:rPr>
        <w:t>icies and procedures (</w:t>
      </w:r>
      <w:r w:rsidR="005240CE" w:rsidRPr="001E4FC1">
        <w:rPr>
          <w:rFonts w:ascii="Times New Roman" w:hAnsi="Times New Roman"/>
          <w:i/>
          <w:sz w:val="24"/>
          <w:szCs w:val="24"/>
        </w:rPr>
        <w:t>e.g.</w:t>
      </w:r>
      <w:r w:rsidR="005240CE">
        <w:rPr>
          <w:rFonts w:ascii="Times New Roman" w:hAnsi="Times New Roman"/>
          <w:sz w:val="24"/>
          <w:szCs w:val="24"/>
        </w:rPr>
        <w:t xml:space="preserve">, </w:t>
      </w:r>
      <w:r w:rsidR="00C43447">
        <w:rPr>
          <w:rFonts w:ascii="Times New Roman" w:hAnsi="Times New Roman"/>
          <w:sz w:val="24"/>
          <w:szCs w:val="24"/>
        </w:rPr>
        <w:t>sanction</w:t>
      </w:r>
      <w:r>
        <w:rPr>
          <w:rFonts w:ascii="Times New Roman" w:hAnsi="Times New Roman"/>
          <w:sz w:val="24"/>
          <w:szCs w:val="24"/>
        </w:rPr>
        <w:t>, security incident, facility access controls, device and media controls, access control, breach notification, etc.)</w:t>
      </w:r>
    </w:p>
    <w:p w:rsidR="000075AE" w:rsidRDefault="000075AE"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 xml:space="preserve">Evidence of sanctions </w:t>
      </w:r>
      <w:r w:rsidR="00C05DF7">
        <w:rPr>
          <w:rFonts w:ascii="Times New Roman" w:hAnsi="Times New Roman"/>
          <w:sz w:val="24"/>
          <w:szCs w:val="24"/>
        </w:rPr>
        <w:t>imposed on the responsible employee(s)</w:t>
      </w:r>
      <w:r w:rsidR="00782FD7">
        <w:rPr>
          <w:rFonts w:ascii="Times New Roman" w:hAnsi="Times New Roman"/>
          <w:sz w:val="24"/>
          <w:szCs w:val="24"/>
        </w:rPr>
        <w:t>, if applicable</w:t>
      </w:r>
    </w:p>
    <w:p w:rsidR="00C05DF7" w:rsidRDefault="00C05DF7"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Security incident report</w:t>
      </w:r>
    </w:p>
    <w:p w:rsidR="00C05DF7" w:rsidRDefault="00C05DF7" w:rsidP="00201A13">
      <w:pPr>
        <w:pStyle w:val="ListParagraph"/>
        <w:numPr>
          <w:ilvl w:val="0"/>
          <w:numId w:val="26"/>
        </w:numPr>
        <w:jc w:val="both"/>
        <w:rPr>
          <w:rFonts w:ascii="Times New Roman" w:hAnsi="Times New Roman"/>
          <w:sz w:val="24"/>
          <w:szCs w:val="24"/>
        </w:rPr>
      </w:pPr>
      <w:r>
        <w:rPr>
          <w:rFonts w:ascii="Times New Roman" w:hAnsi="Times New Roman"/>
          <w:sz w:val="24"/>
          <w:szCs w:val="24"/>
        </w:rPr>
        <w:t>Copies of notices to individuals and the media</w:t>
      </w:r>
    </w:p>
    <w:p w:rsidR="00D87226" w:rsidRDefault="00C05DF7" w:rsidP="00A032D0">
      <w:pPr>
        <w:pStyle w:val="ListParagraph"/>
        <w:numPr>
          <w:ilvl w:val="0"/>
          <w:numId w:val="26"/>
        </w:numPr>
        <w:jc w:val="both"/>
        <w:rPr>
          <w:rFonts w:ascii="Times New Roman" w:hAnsi="Times New Roman"/>
          <w:sz w:val="24"/>
          <w:szCs w:val="24"/>
        </w:rPr>
      </w:pPr>
      <w:r w:rsidRPr="00C05DF7">
        <w:rPr>
          <w:rFonts w:ascii="Times New Roman" w:hAnsi="Times New Roman"/>
          <w:sz w:val="24"/>
          <w:szCs w:val="24"/>
        </w:rPr>
        <w:t>Business Associate Agreements</w:t>
      </w:r>
      <w:r w:rsidR="00782FD7">
        <w:rPr>
          <w:rFonts w:ascii="Times New Roman" w:hAnsi="Times New Roman"/>
          <w:sz w:val="24"/>
          <w:szCs w:val="24"/>
        </w:rPr>
        <w:t>, if applicable</w:t>
      </w:r>
    </w:p>
    <w:p w:rsidR="00A032D0" w:rsidRPr="00594D9D" w:rsidRDefault="00A032D0" w:rsidP="00594D9D">
      <w:pPr>
        <w:jc w:val="both"/>
        <w:rPr>
          <w:rFonts w:ascii="Times New Roman" w:hAnsi="Times New Roman"/>
          <w:sz w:val="24"/>
          <w:szCs w:val="24"/>
        </w:rPr>
      </w:pPr>
    </w:p>
    <w:p w:rsidR="00164A9E" w:rsidRDefault="00164A9E" w:rsidP="00990C06">
      <w:pPr>
        <w:spacing w:after="240"/>
        <w:jc w:val="both"/>
        <w:rPr>
          <w:rFonts w:ascii="Times New Roman" w:hAnsi="Times New Roman"/>
          <w:sz w:val="24"/>
          <w:szCs w:val="24"/>
        </w:rPr>
      </w:pPr>
      <w:r w:rsidRPr="00BE08AE">
        <w:rPr>
          <w:rFonts w:ascii="Times New Roman" w:hAnsi="Times New Roman"/>
          <w:b/>
          <w:sz w:val="24"/>
          <w:szCs w:val="24"/>
        </w:rPr>
        <w:t xml:space="preserve">PRACTICAL TIP:  </w:t>
      </w:r>
      <w:r w:rsidRPr="00164A9E">
        <w:rPr>
          <w:rFonts w:ascii="Times New Roman" w:hAnsi="Times New Roman"/>
          <w:sz w:val="24"/>
          <w:szCs w:val="24"/>
        </w:rPr>
        <w:t>Organizations facing</w:t>
      </w:r>
      <w:r>
        <w:rPr>
          <w:rFonts w:ascii="Times New Roman" w:hAnsi="Times New Roman"/>
          <w:sz w:val="24"/>
          <w:szCs w:val="24"/>
        </w:rPr>
        <w:t xml:space="preserve"> a compliance review should also r</w:t>
      </w:r>
      <w:r w:rsidR="00DF3B20">
        <w:rPr>
          <w:rFonts w:ascii="Times New Roman" w:hAnsi="Times New Roman"/>
          <w:sz w:val="24"/>
          <w:szCs w:val="24"/>
        </w:rPr>
        <w:t>eview the</w:t>
      </w:r>
      <w:r>
        <w:rPr>
          <w:rFonts w:ascii="Times New Roman" w:hAnsi="Times New Roman"/>
          <w:sz w:val="24"/>
          <w:szCs w:val="24"/>
        </w:rPr>
        <w:t xml:space="preserve"> “corrective action obligations” in the Corrective Action Plans (that correspond to the Resolution Agreements) on OCR’s website</w:t>
      </w:r>
      <w:r w:rsidR="00BA18BA">
        <w:rPr>
          <w:rFonts w:ascii="Times New Roman" w:hAnsi="Times New Roman"/>
          <w:sz w:val="24"/>
          <w:szCs w:val="24"/>
        </w:rPr>
        <w:t xml:space="preserve">: </w:t>
      </w:r>
      <w:hyperlink r:id="rId9" w:history="1">
        <w:r w:rsidR="00BA18BA" w:rsidRPr="005D3BF6">
          <w:rPr>
            <w:rStyle w:val="Hyperlink"/>
            <w:rFonts w:ascii="Times New Roman" w:hAnsi="Times New Roman"/>
            <w:sz w:val="24"/>
            <w:szCs w:val="24"/>
          </w:rPr>
          <w:t>https://www.hhs.gov/hipaa/for-professionals/compliance-enforcement/agreements/index.html</w:t>
        </w:r>
      </w:hyperlink>
      <w:r w:rsidR="00BA18BA">
        <w:rPr>
          <w:rFonts w:ascii="Times New Roman" w:hAnsi="Times New Roman"/>
          <w:sz w:val="24"/>
          <w:szCs w:val="24"/>
        </w:rPr>
        <w:t xml:space="preserve">.  </w:t>
      </w:r>
      <w:r>
        <w:rPr>
          <w:rFonts w:ascii="Times New Roman" w:hAnsi="Times New Roman"/>
          <w:sz w:val="24"/>
          <w:szCs w:val="24"/>
        </w:rPr>
        <w:t>These can serve as grea</w:t>
      </w:r>
      <w:r w:rsidR="001E4FC1">
        <w:rPr>
          <w:rFonts w:ascii="Times New Roman" w:hAnsi="Times New Roman"/>
          <w:sz w:val="24"/>
          <w:szCs w:val="24"/>
        </w:rPr>
        <w:t xml:space="preserve">t “roadmaps” for what types of </w:t>
      </w:r>
      <w:r>
        <w:rPr>
          <w:rFonts w:ascii="Times New Roman" w:hAnsi="Times New Roman"/>
          <w:sz w:val="24"/>
          <w:szCs w:val="24"/>
        </w:rPr>
        <w:t xml:space="preserve">corrective action </w:t>
      </w:r>
      <w:r w:rsidR="00423D3D">
        <w:rPr>
          <w:rFonts w:ascii="Times New Roman" w:hAnsi="Times New Roman"/>
          <w:sz w:val="24"/>
          <w:szCs w:val="24"/>
        </w:rPr>
        <w:t xml:space="preserve">OCR expects an entity to </w:t>
      </w:r>
      <w:r>
        <w:rPr>
          <w:rFonts w:ascii="Times New Roman" w:hAnsi="Times New Roman"/>
          <w:sz w:val="24"/>
          <w:szCs w:val="24"/>
        </w:rPr>
        <w:t>take following a breach or security incident.</w:t>
      </w:r>
    </w:p>
    <w:p w:rsidR="00164A9E" w:rsidRPr="00164A9E" w:rsidRDefault="00164A9E" w:rsidP="00990C06">
      <w:pPr>
        <w:spacing w:after="240"/>
        <w:jc w:val="both"/>
        <w:rPr>
          <w:rFonts w:ascii="Times New Roman" w:hAnsi="Times New Roman"/>
          <w:b/>
          <w:sz w:val="24"/>
          <w:szCs w:val="24"/>
        </w:rPr>
      </w:pPr>
      <w:r w:rsidRPr="00164A9E">
        <w:rPr>
          <w:rFonts w:ascii="Times New Roman" w:hAnsi="Times New Roman"/>
          <w:b/>
          <w:sz w:val="24"/>
          <w:szCs w:val="24"/>
        </w:rPr>
        <w:t>IV.</w:t>
      </w:r>
      <w:r w:rsidRPr="00164A9E">
        <w:rPr>
          <w:rFonts w:ascii="Times New Roman" w:hAnsi="Times New Roman"/>
          <w:b/>
          <w:sz w:val="24"/>
          <w:szCs w:val="24"/>
        </w:rPr>
        <w:tab/>
      </w:r>
      <w:r w:rsidRPr="00164A9E">
        <w:rPr>
          <w:rFonts w:ascii="Times New Roman" w:hAnsi="Times New Roman"/>
          <w:b/>
          <w:sz w:val="24"/>
          <w:szCs w:val="24"/>
          <w:u w:val="single"/>
        </w:rPr>
        <w:t>Potential Penalties/Resolution Agreement</w:t>
      </w:r>
      <w:r w:rsidRPr="00164A9E">
        <w:rPr>
          <w:rFonts w:ascii="Times New Roman" w:hAnsi="Times New Roman"/>
          <w:b/>
          <w:sz w:val="24"/>
          <w:szCs w:val="24"/>
        </w:rPr>
        <w:t xml:space="preserve"> </w:t>
      </w:r>
    </w:p>
    <w:p w:rsidR="00990C06" w:rsidRPr="00990C06" w:rsidRDefault="00F63D8C" w:rsidP="00990C06">
      <w:pPr>
        <w:spacing w:after="240"/>
        <w:jc w:val="both"/>
        <w:rPr>
          <w:rFonts w:ascii="Times New Roman" w:hAnsi="Times New Roman"/>
          <w:sz w:val="24"/>
          <w:szCs w:val="24"/>
        </w:rPr>
      </w:pPr>
      <w:r>
        <w:rPr>
          <w:rFonts w:ascii="Times New Roman" w:hAnsi="Times New Roman"/>
          <w:sz w:val="24"/>
          <w:szCs w:val="24"/>
        </w:rPr>
        <w:t>If</w:t>
      </w:r>
      <w:r w:rsidR="00E72DDD">
        <w:rPr>
          <w:rFonts w:ascii="Times New Roman" w:hAnsi="Times New Roman"/>
          <w:sz w:val="24"/>
          <w:szCs w:val="24"/>
        </w:rPr>
        <w:t xml:space="preserve"> </w:t>
      </w:r>
      <w:r w:rsidR="00782FD7">
        <w:rPr>
          <w:rFonts w:ascii="Times New Roman" w:hAnsi="Times New Roman"/>
          <w:sz w:val="24"/>
          <w:szCs w:val="24"/>
        </w:rPr>
        <w:t>an entity</w:t>
      </w:r>
      <w:r w:rsidR="00E72DDD">
        <w:rPr>
          <w:rFonts w:ascii="Times New Roman" w:hAnsi="Times New Roman"/>
          <w:sz w:val="24"/>
          <w:szCs w:val="24"/>
        </w:rPr>
        <w:t xml:space="preserve"> </w:t>
      </w:r>
      <w:r>
        <w:rPr>
          <w:rFonts w:ascii="Times New Roman" w:hAnsi="Times New Roman"/>
          <w:sz w:val="24"/>
          <w:szCs w:val="24"/>
        </w:rPr>
        <w:t xml:space="preserve">is </w:t>
      </w:r>
      <w:r w:rsidR="00054353">
        <w:rPr>
          <w:rFonts w:ascii="Times New Roman" w:hAnsi="Times New Roman"/>
          <w:sz w:val="24"/>
          <w:szCs w:val="24"/>
        </w:rPr>
        <w:t>found to have violated</w:t>
      </w:r>
      <w:r w:rsidR="0088409A">
        <w:rPr>
          <w:rFonts w:ascii="Times New Roman" w:hAnsi="Times New Roman"/>
          <w:sz w:val="24"/>
          <w:szCs w:val="24"/>
        </w:rPr>
        <w:t xml:space="preserve"> HIPAA</w:t>
      </w:r>
      <w:r w:rsidR="00054353">
        <w:rPr>
          <w:rFonts w:ascii="Times New Roman" w:hAnsi="Times New Roman"/>
          <w:sz w:val="24"/>
          <w:szCs w:val="24"/>
        </w:rPr>
        <w:t xml:space="preserve">, </w:t>
      </w:r>
      <w:r w:rsidR="00594D9D">
        <w:rPr>
          <w:rFonts w:ascii="Times New Roman" w:hAnsi="Times New Roman"/>
          <w:sz w:val="24"/>
          <w:szCs w:val="24"/>
        </w:rPr>
        <w:t xml:space="preserve">OCR </w:t>
      </w:r>
      <w:r w:rsidR="00990C06" w:rsidRPr="00990C06">
        <w:rPr>
          <w:rFonts w:ascii="Times New Roman" w:hAnsi="Times New Roman"/>
          <w:sz w:val="24"/>
          <w:szCs w:val="24"/>
        </w:rPr>
        <w:t>and States</w:t>
      </w:r>
      <w:r w:rsidR="00594D9D">
        <w:rPr>
          <w:rFonts w:ascii="Times New Roman" w:hAnsi="Times New Roman"/>
          <w:sz w:val="24"/>
          <w:szCs w:val="24"/>
        </w:rPr>
        <w:t>’</w:t>
      </w:r>
      <w:r w:rsidR="00990C06" w:rsidRPr="00990C06">
        <w:rPr>
          <w:rFonts w:ascii="Times New Roman" w:hAnsi="Times New Roman"/>
          <w:sz w:val="24"/>
          <w:szCs w:val="24"/>
        </w:rPr>
        <w:t xml:space="preserve"> Attorneys General may impose sanctions, including civil monetary penalties (“CMPs”) ranging from $100 to $50,000 per </w:t>
      </w:r>
      <w:r w:rsidR="00054353">
        <w:rPr>
          <w:rFonts w:ascii="Times New Roman" w:hAnsi="Times New Roman"/>
          <w:sz w:val="24"/>
          <w:szCs w:val="24"/>
        </w:rPr>
        <w:t xml:space="preserve">HIPAA violation </w:t>
      </w:r>
      <w:r w:rsidR="00520DEC" w:rsidRPr="00520DEC">
        <w:rPr>
          <w:rFonts w:ascii="Times New Roman" w:hAnsi="Times New Roman"/>
          <w:sz w:val="24"/>
          <w:szCs w:val="24"/>
        </w:rPr>
        <w:t xml:space="preserve">– </w:t>
      </w:r>
      <w:r w:rsidR="00054353">
        <w:rPr>
          <w:rFonts w:ascii="Times New Roman" w:hAnsi="Times New Roman"/>
          <w:sz w:val="24"/>
          <w:szCs w:val="24"/>
        </w:rPr>
        <w:t xml:space="preserve">but </w:t>
      </w:r>
      <w:r w:rsidR="00990C06" w:rsidRPr="00990C06">
        <w:rPr>
          <w:rFonts w:ascii="Times New Roman" w:hAnsi="Times New Roman"/>
          <w:sz w:val="24"/>
          <w:szCs w:val="24"/>
        </w:rPr>
        <w:t>the maximum CMPs that can be a</w:t>
      </w:r>
      <w:r w:rsidR="0088409A">
        <w:rPr>
          <w:rFonts w:ascii="Times New Roman" w:hAnsi="Times New Roman"/>
          <w:sz w:val="24"/>
          <w:szCs w:val="24"/>
        </w:rPr>
        <w:t>pplied for additional violations of the same regulation</w:t>
      </w:r>
      <w:r w:rsidR="00990C06" w:rsidRPr="00990C06">
        <w:rPr>
          <w:rFonts w:ascii="Times New Roman" w:hAnsi="Times New Roman"/>
          <w:sz w:val="24"/>
          <w:szCs w:val="24"/>
        </w:rPr>
        <w:t xml:space="preserve"> in any one year are within a range of $25,000 to $1,500,000.  HHS is required to impose a CMP if a violation is found to constitute willful neglect of the law.  </w:t>
      </w:r>
      <w:r w:rsidR="00D220FC">
        <w:rPr>
          <w:rFonts w:ascii="Times New Roman" w:hAnsi="Times New Roman"/>
          <w:sz w:val="24"/>
          <w:szCs w:val="24"/>
        </w:rPr>
        <w:t>The chart b</w:t>
      </w:r>
      <w:r w:rsidR="00054353">
        <w:rPr>
          <w:rFonts w:ascii="Times New Roman" w:hAnsi="Times New Roman"/>
          <w:sz w:val="24"/>
          <w:szCs w:val="24"/>
        </w:rPr>
        <w:t>elow s</w:t>
      </w:r>
      <w:r w:rsidR="00A032D0">
        <w:rPr>
          <w:rFonts w:ascii="Times New Roman" w:hAnsi="Times New Roman"/>
          <w:sz w:val="24"/>
          <w:szCs w:val="24"/>
        </w:rPr>
        <w:t xml:space="preserve">hows the tiered penalties based on </w:t>
      </w:r>
      <w:r w:rsidR="00990C06" w:rsidRPr="00990C06">
        <w:rPr>
          <w:rFonts w:ascii="Times New Roman" w:hAnsi="Times New Roman"/>
          <w:sz w:val="24"/>
          <w:szCs w:val="24"/>
        </w:rPr>
        <w:t>the entity’s culpability: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676"/>
        <w:gridCol w:w="3708"/>
      </w:tblGrid>
      <w:tr w:rsidR="00990C06" w:rsidRPr="00990C06" w:rsidTr="00782FD7">
        <w:trPr>
          <w:trHeight w:val="503"/>
        </w:trPr>
        <w:tc>
          <w:tcPr>
            <w:tcW w:w="3192" w:type="dxa"/>
            <w:shd w:val="clear" w:color="auto" w:fill="auto"/>
          </w:tcPr>
          <w:p w:rsidR="00990C06" w:rsidRPr="00990C06" w:rsidRDefault="00990C06" w:rsidP="00990C06">
            <w:pPr>
              <w:keepNext/>
              <w:spacing w:after="240"/>
              <w:jc w:val="center"/>
              <w:outlineLvl w:val="1"/>
              <w:rPr>
                <w:rFonts w:ascii="Times New Roman" w:hAnsi="Times New Roman"/>
                <w:b/>
                <w:szCs w:val="22"/>
              </w:rPr>
            </w:pPr>
            <w:r w:rsidRPr="00990C06">
              <w:rPr>
                <w:rFonts w:ascii="Times New Roman" w:hAnsi="Times New Roman"/>
                <w:b/>
                <w:szCs w:val="22"/>
              </w:rPr>
              <w:t>Violation Category</w:t>
            </w:r>
          </w:p>
        </w:tc>
        <w:tc>
          <w:tcPr>
            <w:tcW w:w="2676" w:type="dxa"/>
            <w:shd w:val="clear" w:color="auto" w:fill="auto"/>
          </w:tcPr>
          <w:p w:rsidR="00990C06" w:rsidRPr="00990C06" w:rsidRDefault="00990C06" w:rsidP="00990C06">
            <w:pPr>
              <w:keepNext/>
              <w:spacing w:after="240"/>
              <w:jc w:val="center"/>
              <w:outlineLvl w:val="1"/>
              <w:rPr>
                <w:rFonts w:ascii="Times New Roman" w:hAnsi="Times New Roman"/>
                <w:b/>
                <w:szCs w:val="22"/>
              </w:rPr>
            </w:pPr>
            <w:r w:rsidRPr="00990C06">
              <w:rPr>
                <w:rFonts w:ascii="Times New Roman" w:hAnsi="Times New Roman"/>
                <w:b/>
                <w:szCs w:val="22"/>
              </w:rPr>
              <w:t>Each Violation</w:t>
            </w:r>
          </w:p>
        </w:tc>
        <w:tc>
          <w:tcPr>
            <w:tcW w:w="3708" w:type="dxa"/>
            <w:shd w:val="clear" w:color="auto" w:fill="auto"/>
          </w:tcPr>
          <w:p w:rsidR="00990C06" w:rsidRPr="00990C06" w:rsidRDefault="00990C06" w:rsidP="00990C06">
            <w:pPr>
              <w:keepNext/>
              <w:spacing w:after="240"/>
              <w:jc w:val="center"/>
              <w:outlineLvl w:val="1"/>
              <w:rPr>
                <w:rFonts w:ascii="Times New Roman" w:hAnsi="Times New Roman"/>
                <w:b/>
                <w:szCs w:val="22"/>
              </w:rPr>
            </w:pPr>
            <w:r w:rsidRPr="00990C06">
              <w:rPr>
                <w:rFonts w:ascii="Times New Roman" w:hAnsi="Times New Roman"/>
                <w:b/>
                <w:szCs w:val="22"/>
              </w:rPr>
              <w:t>All Such Violations of an Identical provision in Calendar Year</w:t>
            </w:r>
          </w:p>
        </w:tc>
      </w:tr>
      <w:tr w:rsidR="00990C06" w:rsidRPr="00990C06" w:rsidTr="001F6E51">
        <w:tc>
          <w:tcPr>
            <w:tcW w:w="3192"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Did Not Know</w:t>
            </w:r>
          </w:p>
        </w:tc>
        <w:tc>
          <w:tcPr>
            <w:tcW w:w="2676"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$100-$50,000</w:t>
            </w:r>
          </w:p>
        </w:tc>
        <w:tc>
          <w:tcPr>
            <w:tcW w:w="3708"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$1.5 million</w:t>
            </w:r>
          </w:p>
        </w:tc>
      </w:tr>
      <w:tr w:rsidR="00990C06" w:rsidRPr="00990C06" w:rsidTr="001F6E51">
        <w:tc>
          <w:tcPr>
            <w:tcW w:w="3192"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Reasonable Cause</w:t>
            </w:r>
          </w:p>
        </w:tc>
        <w:tc>
          <w:tcPr>
            <w:tcW w:w="2676"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$1,000-$50,000</w:t>
            </w:r>
          </w:p>
        </w:tc>
        <w:tc>
          <w:tcPr>
            <w:tcW w:w="3708"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$1.5 million</w:t>
            </w:r>
          </w:p>
        </w:tc>
      </w:tr>
      <w:tr w:rsidR="00990C06" w:rsidRPr="00990C06" w:rsidTr="00782FD7">
        <w:trPr>
          <w:trHeight w:val="539"/>
        </w:trPr>
        <w:tc>
          <w:tcPr>
            <w:tcW w:w="3192"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Willful Neglect, Corrected within 30 Days</w:t>
            </w:r>
          </w:p>
        </w:tc>
        <w:tc>
          <w:tcPr>
            <w:tcW w:w="2676"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$10,000-$50,000</w:t>
            </w:r>
          </w:p>
        </w:tc>
        <w:tc>
          <w:tcPr>
            <w:tcW w:w="3708"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$1.5 million</w:t>
            </w:r>
          </w:p>
        </w:tc>
      </w:tr>
      <w:tr w:rsidR="00990C06" w:rsidRPr="00990C06" w:rsidTr="001F6E51">
        <w:tc>
          <w:tcPr>
            <w:tcW w:w="3192"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Willful Neglect, Not Corrected within 30 Days</w:t>
            </w:r>
          </w:p>
        </w:tc>
        <w:tc>
          <w:tcPr>
            <w:tcW w:w="2676"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$50,000</w:t>
            </w:r>
          </w:p>
        </w:tc>
        <w:tc>
          <w:tcPr>
            <w:tcW w:w="3708" w:type="dxa"/>
            <w:shd w:val="clear" w:color="auto" w:fill="auto"/>
          </w:tcPr>
          <w:p w:rsidR="00990C06" w:rsidRPr="00990C06" w:rsidRDefault="00990C06" w:rsidP="00990C06">
            <w:pPr>
              <w:spacing w:after="240"/>
              <w:jc w:val="center"/>
              <w:outlineLvl w:val="1"/>
              <w:rPr>
                <w:rFonts w:ascii="Times New Roman" w:hAnsi="Times New Roman"/>
                <w:szCs w:val="22"/>
              </w:rPr>
            </w:pPr>
            <w:r w:rsidRPr="00990C06">
              <w:rPr>
                <w:rFonts w:ascii="Times New Roman" w:hAnsi="Times New Roman"/>
                <w:szCs w:val="22"/>
              </w:rPr>
              <w:t>$1.5 million</w:t>
            </w:r>
          </w:p>
        </w:tc>
      </w:tr>
    </w:tbl>
    <w:p w:rsidR="00A032D0" w:rsidRDefault="00A032D0" w:rsidP="00A032D0">
      <w:pPr>
        <w:jc w:val="both"/>
        <w:rPr>
          <w:rFonts w:ascii="Times New Roman" w:hAnsi="Times New Roman"/>
          <w:sz w:val="24"/>
          <w:szCs w:val="24"/>
        </w:rPr>
      </w:pPr>
    </w:p>
    <w:p w:rsidR="00990C06" w:rsidRDefault="00990C06" w:rsidP="00BE08AE">
      <w:pPr>
        <w:jc w:val="both"/>
        <w:rPr>
          <w:rFonts w:ascii="Times New Roman" w:hAnsi="Times New Roman"/>
          <w:sz w:val="24"/>
          <w:szCs w:val="24"/>
        </w:rPr>
      </w:pPr>
      <w:r w:rsidRPr="00990C06">
        <w:rPr>
          <w:rFonts w:ascii="Times New Roman" w:hAnsi="Times New Roman"/>
          <w:sz w:val="24"/>
          <w:szCs w:val="24"/>
        </w:rPr>
        <w:t>HHS will not impose the maximum penalty amount in all cases</w:t>
      </w:r>
      <w:r w:rsidR="00D220FC">
        <w:rPr>
          <w:rFonts w:ascii="Times New Roman" w:hAnsi="Times New Roman"/>
          <w:sz w:val="24"/>
          <w:szCs w:val="24"/>
        </w:rPr>
        <w:t>,</w:t>
      </w:r>
      <w:r w:rsidRPr="00990C06">
        <w:rPr>
          <w:rFonts w:ascii="Times New Roman" w:hAnsi="Times New Roman"/>
          <w:sz w:val="24"/>
          <w:szCs w:val="24"/>
        </w:rPr>
        <w:t xml:space="preserve"> but will instead determine the penalty based on</w:t>
      </w:r>
      <w:r w:rsidR="00520DEC">
        <w:rPr>
          <w:rFonts w:ascii="Times New Roman" w:hAnsi="Times New Roman"/>
          <w:sz w:val="24"/>
          <w:szCs w:val="24"/>
        </w:rPr>
        <w:t>:</w:t>
      </w:r>
      <w:r w:rsidRPr="00990C06">
        <w:rPr>
          <w:rFonts w:ascii="Times New Roman" w:hAnsi="Times New Roman"/>
          <w:sz w:val="24"/>
          <w:szCs w:val="24"/>
        </w:rPr>
        <w:t xml:space="preserve"> (i) the nature and extent of the violation; (ii) the resul</w:t>
      </w:r>
      <w:r w:rsidR="006205C3">
        <w:rPr>
          <w:rFonts w:ascii="Times New Roman" w:hAnsi="Times New Roman"/>
          <w:sz w:val="24"/>
          <w:szCs w:val="24"/>
        </w:rPr>
        <w:t>ting harm (e.g., the number of i</w:t>
      </w:r>
      <w:r w:rsidRPr="00990C06">
        <w:rPr>
          <w:rFonts w:ascii="Times New Roman" w:hAnsi="Times New Roman"/>
          <w:sz w:val="24"/>
          <w:szCs w:val="24"/>
        </w:rPr>
        <w:t>ndividuals affected, reputational harm, etc.); (iii) the entity’s history of prior offenses or compliance; (iv) the financial condition of the entity; and (v) any other factor that justice may require be considered.  HHS also retains the ability to waive a CMP, in whole or in part, and to settle any issue or case or to compromise the amount of a CMP.</w:t>
      </w:r>
    </w:p>
    <w:p w:rsidR="00BE08AE" w:rsidRPr="00990C06" w:rsidRDefault="00BE08AE" w:rsidP="00BE08AE">
      <w:pPr>
        <w:jc w:val="both"/>
        <w:rPr>
          <w:rFonts w:ascii="Times New Roman" w:hAnsi="Times New Roman"/>
          <w:sz w:val="24"/>
          <w:szCs w:val="24"/>
        </w:rPr>
      </w:pPr>
    </w:p>
    <w:p w:rsidR="00BE08AE" w:rsidRDefault="00855011" w:rsidP="00BE08AE">
      <w:pPr>
        <w:jc w:val="both"/>
        <w:rPr>
          <w:rFonts w:ascii="Times New Roman" w:hAnsi="Times New Roman"/>
          <w:sz w:val="24"/>
          <w:szCs w:val="24"/>
        </w:rPr>
      </w:pPr>
      <w:r w:rsidRPr="00624DB2">
        <w:rPr>
          <w:rFonts w:ascii="Times New Roman" w:hAnsi="Times New Roman"/>
          <w:sz w:val="24"/>
          <w:szCs w:val="24"/>
        </w:rPr>
        <w:lastRenderedPageBreak/>
        <w:t>However, a</w:t>
      </w:r>
      <w:r w:rsidR="00054353" w:rsidRPr="00624DB2">
        <w:rPr>
          <w:rFonts w:ascii="Times New Roman" w:hAnsi="Times New Roman"/>
          <w:sz w:val="24"/>
          <w:szCs w:val="24"/>
        </w:rPr>
        <w:t xml:space="preserve"> </w:t>
      </w:r>
      <w:r w:rsidR="00054353" w:rsidRPr="00624DB2">
        <w:rPr>
          <w:rFonts w:ascii="Times New Roman" w:hAnsi="Times New Roman"/>
          <w:b/>
          <w:i/>
          <w:sz w:val="24"/>
          <w:szCs w:val="24"/>
        </w:rPr>
        <w:t>larg</w:t>
      </w:r>
      <w:r w:rsidR="009D3D47" w:rsidRPr="00624DB2">
        <w:rPr>
          <w:rFonts w:ascii="Times New Roman" w:hAnsi="Times New Roman"/>
          <w:b/>
          <w:i/>
          <w:sz w:val="24"/>
          <w:szCs w:val="24"/>
        </w:rPr>
        <w:t>e majority</w:t>
      </w:r>
      <w:r w:rsidR="009D3D47" w:rsidRPr="00624DB2">
        <w:rPr>
          <w:rFonts w:ascii="Times New Roman" w:hAnsi="Times New Roman"/>
          <w:sz w:val="24"/>
          <w:szCs w:val="24"/>
        </w:rPr>
        <w:t xml:space="preserve"> of OCR compliance review</w:t>
      </w:r>
      <w:r w:rsidR="00E74DF9" w:rsidRPr="00624DB2">
        <w:rPr>
          <w:rFonts w:ascii="Times New Roman" w:hAnsi="Times New Roman"/>
          <w:sz w:val="24"/>
          <w:szCs w:val="24"/>
        </w:rPr>
        <w:t>s</w:t>
      </w:r>
      <w:r w:rsidR="00054353" w:rsidRPr="00624DB2">
        <w:rPr>
          <w:rFonts w:ascii="Times New Roman" w:hAnsi="Times New Roman"/>
          <w:sz w:val="24"/>
          <w:szCs w:val="24"/>
        </w:rPr>
        <w:t xml:space="preserve"> do not end with the imposition of CMPs.  Rather, </w:t>
      </w:r>
      <w:r w:rsidR="000D191D" w:rsidRPr="00624DB2">
        <w:rPr>
          <w:rFonts w:ascii="Times New Roman" w:hAnsi="Times New Roman"/>
          <w:sz w:val="24"/>
          <w:szCs w:val="24"/>
        </w:rPr>
        <w:t>OCR</w:t>
      </w:r>
      <w:r w:rsidR="00E74DF9" w:rsidRPr="00624DB2">
        <w:rPr>
          <w:rFonts w:ascii="Times New Roman" w:hAnsi="Times New Roman"/>
          <w:sz w:val="24"/>
          <w:szCs w:val="24"/>
        </w:rPr>
        <w:t xml:space="preserve"> may close</w:t>
      </w:r>
      <w:r w:rsidR="00594D9D" w:rsidRPr="00624DB2">
        <w:rPr>
          <w:rFonts w:ascii="Times New Roman" w:hAnsi="Times New Roman"/>
          <w:sz w:val="24"/>
          <w:szCs w:val="24"/>
        </w:rPr>
        <w:t xml:space="preserve"> </w:t>
      </w:r>
      <w:r w:rsidR="009D3D47" w:rsidRPr="00624DB2">
        <w:rPr>
          <w:rFonts w:ascii="Times New Roman" w:hAnsi="Times New Roman"/>
          <w:sz w:val="24"/>
          <w:szCs w:val="24"/>
        </w:rPr>
        <w:t xml:space="preserve">the matter with suggested action items for the </w:t>
      </w:r>
      <w:r w:rsidR="006205C3" w:rsidRPr="00624DB2">
        <w:rPr>
          <w:rFonts w:ascii="Times New Roman" w:hAnsi="Times New Roman"/>
          <w:sz w:val="24"/>
          <w:szCs w:val="24"/>
        </w:rPr>
        <w:t>entity</w:t>
      </w:r>
      <w:r w:rsidR="009D3D47" w:rsidRPr="00624DB2">
        <w:rPr>
          <w:rFonts w:ascii="Times New Roman" w:hAnsi="Times New Roman"/>
          <w:sz w:val="24"/>
          <w:szCs w:val="24"/>
        </w:rPr>
        <w:t xml:space="preserve"> or, in more egregious cases, OCR will </w:t>
      </w:r>
      <w:r w:rsidR="00054353" w:rsidRPr="00624DB2">
        <w:rPr>
          <w:rFonts w:ascii="Times New Roman" w:hAnsi="Times New Roman"/>
          <w:sz w:val="24"/>
          <w:szCs w:val="24"/>
        </w:rPr>
        <w:t>enter into</w:t>
      </w:r>
      <w:r w:rsidRPr="00624DB2">
        <w:rPr>
          <w:rFonts w:ascii="Times New Roman" w:hAnsi="Times New Roman"/>
          <w:sz w:val="24"/>
          <w:szCs w:val="24"/>
        </w:rPr>
        <w:t xml:space="preserve"> </w:t>
      </w:r>
      <w:r w:rsidR="009D3D47" w:rsidRPr="00624DB2">
        <w:rPr>
          <w:rFonts w:ascii="Times New Roman" w:hAnsi="Times New Roman"/>
          <w:sz w:val="24"/>
          <w:szCs w:val="24"/>
        </w:rPr>
        <w:t xml:space="preserve">a </w:t>
      </w:r>
      <w:r w:rsidR="00054353" w:rsidRPr="00624DB2">
        <w:rPr>
          <w:rFonts w:ascii="Times New Roman" w:hAnsi="Times New Roman"/>
          <w:sz w:val="24"/>
          <w:szCs w:val="24"/>
        </w:rPr>
        <w:t>Resolution Agreement</w:t>
      </w:r>
      <w:r w:rsidR="001504A7">
        <w:rPr>
          <w:rFonts w:ascii="Times New Roman" w:hAnsi="Times New Roman"/>
          <w:sz w:val="24"/>
          <w:szCs w:val="24"/>
        </w:rPr>
        <w:t xml:space="preserve">, in </w:t>
      </w:r>
      <w:r w:rsidR="000D191D" w:rsidRPr="00624DB2">
        <w:rPr>
          <w:rFonts w:ascii="Times New Roman" w:hAnsi="Times New Roman"/>
          <w:sz w:val="24"/>
          <w:szCs w:val="24"/>
        </w:rPr>
        <w:t xml:space="preserve">which </w:t>
      </w:r>
      <w:r w:rsidR="009D3D47" w:rsidRPr="00624DB2">
        <w:rPr>
          <w:rFonts w:ascii="Times New Roman" w:hAnsi="Times New Roman"/>
          <w:sz w:val="24"/>
          <w:szCs w:val="24"/>
        </w:rPr>
        <w:t xml:space="preserve">the </w:t>
      </w:r>
      <w:r w:rsidR="006205C3" w:rsidRPr="00624DB2">
        <w:rPr>
          <w:rFonts w:ascii="Times New Roman" w:hAnsi="Times New Roman"/>
          <w:sz w:val="24"/>
          <w:szCs w:val="24"/>
        </w:rPr>
        <w:t>e</w:t>
      </w:r>
      <w:r w:rsidR="009D3D47" w:rsidRPr="00624DB2">
        <w:rPr>
          <w:rFonts w:ascii="Times New Roman" w:hAnsi="Times New Roman"/>
          <w:sz w:val="24"/>
          <w:szCs w:val="24"/>
        </w:rPr>
        <w:t xml:space="preserve">ntity </w:t>
      </w:r>
      <w:r w:rsidR="00BA18BA">
        <w:rPr>
          <w:rFonts w:ascii="Times New Roman" w:hAnsi="Times New Roman"/>
          <w:sz w:val="24"/>
          <w:szCs w:val="24"/>
        </w:rPr>
        <w:t>agrees to pay</w:t>
      </w:r>
      <w:r w:rsidR="00054353" w:rsidRPr="00624DB2">
        <w:rPr>
          <w:rFonts w:ascii="Times New Roman" w:hAnsi="Times New Roman"/>
          <w:sz w:val="24"/>
          <w:szCs w:val="24"/>
        </w:rPr>
        <w:t xml:space="preserve"> a </w:t>
      </w:r>
      <w:r w:rsidR="00BA18BA">
        <w:rPr>
          <w:rFonts w:ascii="Times New Roman" w:hAnsi="Times New Roman"/>
          <w:sz w:val="24"/>
          <w:szCs w:val="24"/>
        </w:rPr>
        <w:t xml:space="preserve">settlement amount and enter into </w:t>
      </w:r>
      <w:r w:rsidR="00E31D67" w:rsidRPr="00624DB2">
        <w:rPr>
          <w:rFonts w:ascii="Times New Roman" w:hAnsi="Times New Roman"/>
          <w:sz w:val="24"/>
          <w:szCs w:val="24"/>
        </w:rPr>
        <w:t>a corrective a</w:t>
      </w:r>
      <w:r w:rsidR="00054353" w:rsidRPr="00624DB2">
        <w:rPr>
          <w:rFonts w:ascii="Times New Roman" w:hAnsi="Times New Roman"/>
          <w:sz w:val="24"/>
          <w:szCs w:val="24"/>
        </w:rPr>
        <w:t>c</w:t>
      </w:r>
      <w:r w:rsidR="00E31D67" w:rsidRPr="00624DB2">
        <w:rPr>
          <w:rFonts w:ascii="Times New Roman" w:hAnsi="Times New Roman"/>
          <w:sz w:val="24"/>
          <w:szCs w:val="24"/>
        </w:rPr>
        <w:t>tion p</w:t>
      </w:r>
      <w:r w:rsidR="00054353" w:rsidRPr="00624DB2">
        <w:rPr>
          <w:rFonts w:ascii="Times New Roman" w:hAnsi="Times New Roman"/>
          <w:sz w:val="24"/>
          <w:szCs w:val="24"/>
        </w:rPr>
        <w:t>lan.</w:t>
      </w:r>
      <w:r w:rsidR="000D191D" w:rsidRPr="00624DB2">
        <w:rPr>
          <w:rFonts w:ascii="Times New Roman" w:hAnsi="Times New Roman"/>
          <w:sz w:val="24"/>
          <w:szCs w:val="24"/>
        </w:rPr>
        <w:t xml:space="preserve">  </w:t>
      </w:r>
      <w:r w:rsidR="00624DB2">
        <w:rPr>
          <w:rFonts w:ascii="Times New Roman" w:hAnsi="Times New Roman"/>
          <w:sz w:val="24"/>
          <w:szCs w:val="24"/>
        </w:rPr>
        <w:t>Th</w:t>
      </w:r>
      <w:r w:rsidR="001504A7">
        <w:rPr>
          <w:rFonts w:ascii="Times New Roman" w:hAnsi="Times New Roman"/>
          <w:sz w:val="24"/>
          <w:szCs w:val="24"/>
        </w:rPr>
        <w:t xml:space="preserve">e latter </w:t>
      </w:r>
      <w:r w:rsidR="00624DB2">
        <w:rPr>
          <w:rFonts w:ascii="Times New Roman" w:hAnsi="Times New Roman"/>
          <w:sz w:val="24"/>
          <w:szCs w:val="24"/>
        </w:rPr>
        <w:t xml:space="preserve">type of </w:t>
      </w:r>
      <w:r w:rsidR="00D87226" w:rsidRPr="00624DB2">
        <w:rPr>
          <w:rFonts w:ascii="Times New Roman" w:hAnsi="Times New Roman"/>
          <w:sz w:val="24"/>
          <w:szCs w:val="24"/>
        </w:rPr>
        <w:t xml:space="preserve">OCR enforcement </w:t>
      </w:r>
      <w:r w:rsidR="001504A7">
        <w:rPr>
          <w:rFonts w:ascii="Times New Roman" w:hAnsi="Times New Roman"/>
          <w:sz w:val="24"/>
          <w:szCs w:val="24"/>
        </w:rPr>
        <w:t>continues to</w:t>
      </w:r>
      <w:r w:rsidR="00D87226" w:rsidRPr="00624DB2">
        <w:rPr>
          <w:rFonts w:ascii="Times New Roman" w:hAnsi="Times New Roman"/>
          <w:sz w:val="24"/>
          <w:szCs w:val="24"/>
        </w:rPr>
        <w:t xml:space="preserve"> </w:t>
      </w:r>
      <w:r w:rsidR="00217513">
        <w:rPr>
          <w:rFonts w:ascii="Times New Roman" w:hAnsi="Times New Roman"/>
          <w:sz w:val="24"/>
          <w:szCs w:val="24"/>
        </w:rPr>
        <w:t>increase</w:t>
      </w:r>
      <w:r w:rsidR="00D87226" w:rsidRPr="00624DB2">
        <w:rPr>
          <w:rFonts w:ascii="Times New Roman" w:hAnsi="Times New Roman"/>
          <w:sz w:val="24"/>
          <w:szCs w:val="24"/>
        </w:rPr>
        <w:t xml:space="preserve">.  In 2016, OCR </w:t>
      </w:r>
      <w:r w:rsidR="00624DB2">
        <w:rPr>
          <w:rFonts w:ascii="Times New Roman" w:hAnsi="Times New Roman"/>
          <w:sz w:val="24"/>
          <w:szCs w:val="24"/>
        </w:rPr>
        <w:t>announced that it had entered into 12</w:t>
      </w:r>
      <w:r w:rsidR="00BA18BA">
        <w:rPr>
          <w:rFonts w:ascii="Times New Roman" w:hAnsi="Times New Roman"/>
          <w:sz w:val="24"/>
          <w:szCs w:val="24"/>
        </w:rPr>
        <w:t xml:space="preserve"> settlements and imposed 1 CMP </w:t>
      </w:r>
      <w:r w:rsidR="001E4FC1">
        <w:rPr>
          <w:rFonts w:ascii="Times New Roman" w:hAnsi="Times New Roman"/>
          <w:sz w:val="24"/>
          <w:szCs w:val="24"/>
        </w:rPr>
        <w:t>–</w:t>
      </w:r>
      <w:r w:rsidR="00BA18BA">
        <w:rPr>
          <w:rFonts w:ascii="Times New Roman" w:hAnsi="Times New Roman"/>
          <w:sz w:val="24"/>
          <w:szCs w:val="24"/>
        </w:rPr>
        <w:t xml:space="preserve"> </w:t>
      </w:r>
      <w:r w:rsidR="00624DB2">
        <w:rPr>
          <w:rFonts w:ascii="Times New Roman" w:hAnsi="Times New Roman"/>
          <w:sz w:val="24"/>
          <w:szCs w:val="24"/>
        </w:rPr>
        <w:t xml:space="preserve">the most </w:t>
      </w:r>
      <w:r w:rsidR="00D87226" w:rsidRPr="00624DB2">
        <w:rPr>
          <w:rFonts w:ascii="Times New Roman" w:hAnsi="Times New Roman"/>
          <w:sz w:val="24"/>
          <w:szCs w:val="24"/>
        </w:rPr>
        <w:t xml:space="preserve">enforcement actions in a </w:t>
      </w:r>
      <w:r w:rsidR="00217513">
        <w:rPr>
          <w:rFonts w:ascii="Times New Roman" w:hAnsi="Times New Roman"/>
          <w:sz w:val="24"/>
          <w:szCs w:val="24"/>
        </w:rPr>
        <w:t xml:space="preserve">given </w:t>
      </w:r>
      <w:r w:rsidR="00D87226" w:rsidRPr="00624DB2">
        <w:rPr>
          <w:rFonts w:ascii="Times New Roman" w:hAnsi="Times New Roman"/>
          <w:sz w:val="24"/>
          <w:szCs w:val="24"/>
        </w:rPr>
        <w:t>calendar year. </w:t>
      </w:r>
      <w:r w:rsidR="00624DB2">
        <w:rPr>
          <w:rFonts w:ascii="Times New Roman" w:hAnsi="Times New Roman"/>
          <w:sz w:val="24"/>
          <w:szCs w:val="24"/>
        </w:rPr>
        <w:t> </w:t>
      </w:r>
      <w:r w:rsidR="001504A7">
        <w:rPr>
          <w:rFonts w:ascii="Times New Roman" w:hAnsi="Times New Roman"/>
          <w:sz w:val="24"/>
          <w:szCs w:val="24"/>
        </w:rPr>
        <w:t>Those settlements included the first</w:t>
      </w:r>
      <w:r w:rsidR="00624DB2">
        <w:rPr>
          <w:rFonts w:ascii="Times New Roman" w:hAnsi="Times New Roman"/>
          <w:sz w:val="24"/>
          <w:szCs w:val="24"/>
        </w:rPr>
        <w:t xml:space="preserve"> involving a B</w:t>
      </w:r>
      <w:r w:rsidR="00D87226" w:rsidRPr="00624DB2">
        <w:rPr>
          <w:rFonts w:ascii="Times New Roman" w:hAnsi="Times New Roman"/>
          <w:sz w:val="24"/>
          <w:szCs w:val="24"/>
        </w:rPr>
        <w:t xml:space="preserve">usiness </w:t>
      </w:r>
      <w:r w:rsidR="00624DB2">
        <w:rPr>
          <w:rFonts w:ascii="Times New Roman" w:hAnsi="Times New Roman"/>
          <w:sz w:val="24"/>
          <w:szCs w:val="24"/>
        </w:rPr>
        <w:t xml:space="preserve">Associate </w:t>
      </w:r>
      <w:r w:rsidR="00541102">
        <w:rPr>
          <w:rFonts w:ascii="Times New Roman" w:hAnsi="Times New Roman"/>
          <w:sz w:val="24"/>
          <w:szCs w:val="24"/>
        </w:rPr>
        <w:t>as well as</w:t>
      </w:r>
      <w:r w:rsidR="001504A7">
        <w:rPr>
          <w:rFonts w:ascii="Times New Roman" w:hAnsi="Times New Roman"/>
          <w:sz w:val="24"/>
          <w:szCs w:val="24"/>
        </w:rPr>
        <w:t xml:space="preserve"> the largest</w:t>
      </w:r>
      <w:r w:rsidR="00D87226" w:rsidRPr="00624DB2">
        <w:rPr>
          <w:rFonts w:ascii="Times New Roman" w:hAnsi="Times New Roman"/>
          <w:sz w:val="24"/>
          <w:szCs w:val="24"/>
        </w:rPr>
        <w:t xml:space="preserve"> settleme</w:t>
      </w:r>
      <w:r w:rsidR="00541102">
        <w:rPr>
          <w:rFonts w:ascii="Times New Roman" w:hAnsi="Times New Roman"/>
          <w:sz w:val="24"/>
          <w:szCs w:val="24"/>
        </w:rPr>
        <w:t xml:space="preserve">nt to date, which totaled </w:t>
      </w:r>
      <w:r w:rsidR="00BA18BA">
        <w:rPr>
          <w:rFonts w:ascii="Times New Roman" w:hAnsi="Times New Roman"/>
          <w:sz w:val="24"/>
          <w:szCs w:val="24"/>
        </w:rPr>
        <w:t xml:space="preserve">$5.5 million.  We are seeing similar enforcement activity in </w:t>
      </w:r>
      <w:r w:rsidR="00541102">
        <w:rPr>
          <w:rFonts w:ascii="Times New Roman" w:hAnsi="Times New Roman"/>
          <w:sz w:val="24"/>
          <w:szCs w:val="24"/>
        </w:rPr>
        <w:t>2017</w:t>
      </w:r>
      <w:r w:rsidR="00BA18BA">
        <w:rPr>
          <w:rFonts w:ascii="Times New Roman" w:hAnsi="Times New Roman"/>
          <w:sz w:val="24"/>
          <w:szCs w:val="24"/>
        </w:rPr>
        <w:t xml:space="preserve">.  As of the date of this publication, OCR has entered into 3 Resolution Agreements and </w:t>
      </w:r>
      <w:r w:rsidR="00541102">
        <w:rPr>
          <w:rFonts w:ascii="Times New Roman" w:hAnsi="Times New Roman"/>
          <w:sz w:val="24"/>
          <w:szCs w:val="24"/>
        </w:rPr>
        <w:t>imposed a CMP of $3.2 million</w:t>
      </w:r>
      <w:r w:rsidR="0073330A">
        <w:rPr>
          <w:rFonts w:ascii="Times New Roman" w:hAnsi="Times New Roman"/>
          <w:sz w:val="24"/>
          <w:szCs w:val="24"/>
        </w:rPr>
        <w:t>.</w:t>
      </w:r>
      <w:r w:rsidR="00541102">
        <w:rPr>
          <w:rFonts w:ascii="Times New Roman" w:hAnsi="Times New Roman"/>
          <w:sz w:val="24"/>
          <w:szCs w:val="24"/>
        </w:rPr>
        <w:t xml:space="preserve"> </w:t>
      </w:r>
    </w:p>
    <w:p w:rsidR="00BE08AE" w:rsidRDefault="00BE08AE" w:rsidP="00BE08AE">
      <w:pPr>
        <w:jc w:val="both"/>
        <w:rPr>
          <w:rFonts w:ascii="Times New Roman" w:hAnsi="Times New Roman"/>
          <w:sz w:val="24"/>
          <w:szCs w:val="24"/>
        </w:rPr>
      </w:pPr>
    </w:p>
    <w:p w:rsidR="00894D71" w:rsidRPr="00894D71" w:rsidRDefault="00894D71" w:rsidP="00BE08AE">
      <w:pPr>
        <w:jc w:val="both"/>
        <w:rPr>
          <w:rFonts w:ascii="Times New Roman" w:hAnsi="Times New Roman"/>
          <w:b/>
          <w:sz w:val="24"/>
          <w:szCs w:val="24"/>
        </w:rPr>
      </w:pPr>
      <w:r w:rsidRPr="00894D71">
        <w:rPr>
          <w:rFonts w:ascii="Times New Roman" w:hAnsi="Times New Roman"/>
          <w:b/>
          <w:sz w:val="24"/>
          <w:szCs w:val="24"/>
        </w:rPr>
        <w:t>V.</w:t>
      </w:r>
      <w:r w:rsidRPr="00894D71">
        <w:rPr>
          <w:rFonts w:ascii="Times New Roman" w:hAnsi="Times New Roman"/>
          <w:b/>
          <w:sz w:val="24"/>
          <w:szCs w:val="24"/>
        </w:rPr>
        <w:tab/>
      </w:r>
      <w:r w:rsidRPr="00894D71">
        <w:rPr>
          <w:rFonts w:ascii="Times New Roman" w:hAnsi="Times New Roman"/>
          <w:b/>
          <w:sz w:val="24"/>
          <w:szCs w:val="24"/>
          <w:u w:val="single"/>
        </w:rPr>
        <w:t>Conclusion</w:t>
      </w:r>
    </w:p>
    <w:p w:rsidR="00894D71" w:rsidRDefault="00894D71" w:rsidP="00BE08AE">
      <w:pPr>
        <w:jc w:val="both"/>
        <w:rPr>
          <w:rFonts w:ascii="Times New Roman" w:hAnsi="Times New Roman"/>
          <w:sz w:val="24"/>
          <w:szCs w:val="24"/>
        </w:rPr>
      </w:pPr>
    </w:p>
    <w:p w:rsidR="00F65865" w:rsidRPr="00624DB2" w:rsidRDefault="00894D71" w:rsidP="00BE08AE">
      <w:pPr>
        <w:jc w:val="both"/>
        <w:rPr>
          <w:rFonts w:ascii="Times New Roman" w:hAnsi="Times New Roman"/>
          <w:sz w:val="24"/>
          <w:szCs w:val="24"/>
        </w:rPr>
      </w:pPr>
      <w:r>
        <w:rPr>
          <w:rFonts w:ascii="Times New Roman" w:hAnsi="Times New Roman"/>
          <w:sz w:val="24"/>
          <w:szCs w:val="24"/>
        </w:rPr>
        <w:t xml:space="preserve">Data breaches are </w:t>
      </w:r>
      <w:r w:rsidR="00942BA1">
        <w:rPr>
          <w:rFonts w:ascii="Times New Roman" w:hAnsi="Times New Roman"/>
          <w:sz w:val="24"/>
          <w:szCs w:val="24"/>
        </w:rPr>
        <w:t>a scary subject</w:t>
      </w:r>
      <w:r w:rsidR="00717938">
        <w:rPr>
          <w:rFonts w:ascii="Times New Roman" w:hAnsi="Times New Roman"/>
          <w:sz w:val="24"/>
          <w:szCs w:val="24"/>
        </w:rPr>
        <w:t xml:space="preserve"> for most </w:t>
      </w:r>
      <w:r>
        <w:rPr>
          <w:rFonts w:ascii="Times New Roman" w:hAnsi="Times New Roman"/>
          <w:sz w:val="24"/>
          <w:szCs w:val="24"/>
        </w:rPr>
        <w:t>organization</w:t>
      </w:r>
      <w:r w:rsidR="00717938">
        <w:rPr>
          <w:rFonts w:ascii="Times New Roman" w:hAnsi="Times New Roman"/>
          <w:sz w:val="24"/>
          <w:szCs w:val="24"/>
        </w:rPr>
        <w:t>s</w:t>
      </w:r>
      <w:r>
        <w:rPr>
          <w:rFonts w:ascii="Times New Roman" w:hAnsi="Times New Roman"/>
          <w:sz w:val="24"/>
          <w:szCs w:val="24"/>
        </w:rPr>
        <w:t>.</w:t>
      </w:r>
      <w:r w:rsidR="00942BA1">
        <w:rPr>
          <w:rFonts w:ascii="Times New Roman" w:hAnsi="Times New Roman"/>
          <w:sz w:val="24"/>
          <w:szCs w:val="24"/>
        </w:rPr>
        <w:t xml:space="preserve">  I</w:t>
      </w:r>
      <w:r>
        <w:rPr>
          <w:rFonts w:ascii="Times New Roman" w:hAnsi="Times New Roman"/>
          <w:sz w:val="24"/>
          <w:szCs w:val="24"/>
        </w:rPr>
        <w:t>n our experience,</w:t>
      </w:r>
      <w:r w:rsidR="00942BA1">
        <w:rPr>
          <w:rFonts w:ascii="Times New Roman" w:hAnsi="Times New Roman"/>
          <w:sz w:val="24"/>
          <w:szCs w:val="24"/>
        </w:rPr>
        <w:t xml:space="preserve"> however,</w:t>
      </w:r>
      <w:r>
        <w:rPr>
          <w:rFonts w:ascii="Times New Roman" w:hAnsi="Times New Roman"/>
          <w:sz w:val="24"/>
          <w:szCs w:val="24"/>
        </w:rPr>
        <w:t xml:space="preserve"> the more an organization does at the front end – the </w:t>
      </w:r>
      <w:r w:rsidR="00942BA1">
        <w:rPr>
          <w:rFonts w:ascii="Times New Roman" w:hAnsi="Times New Roman"/>
          <w:sz w:val="24"/>
          <w:szCs w:val="24"/>
        </w:rPr>
        <w:t xml:space="preserve">less likely it is </w:t>
      </w:r>
      <w:r>
        <w:rPr>
          <w:rFonts w:ascii="Times New Roman" w:hAnsi="Times New Roman"/>
          <w:sz w:val="24"/>
          <w:szCs w:val="24"/>
        </w:rPr>
        <w:t>to make missteps</w:t>
      </w:r>
      <w:r w:rsidR="00942BA1">
        <w:rPr>
          <w:rFonts w:ascii="Times New Roman" w:hAnsi="Times New Roman"/>
          <w:sz w:val="24"/>
          <w:szCs w:val="24"/>
        </w:rPr>
        <w:t xml:space="preserve"> and the </w:t>
      </w:r>
      <w:r>
        <w:rPr>
          <w:rFonts w:ascii="Times New Roman" w:hAnsi="Times New Roman"/>
          <w:sz w:val="24"/>
          <w:szCs w:val="24"/>
        </w:rPr>
        <w:t>be</w:t>
      </w:r>
      <w:r w:rsidR="00942BA1">
        <w:rPr>
          <w:rFonts w:ascii="Times New Roman" w:hAnsi="Times New Roman"/>
          <w:sz w:val="24"/>
          <w:szCs w:val="24"/>
        </w:rPr>
        <w:t xml:space="preserve">tter it fairs in </w:t>
      </w:r>
      <w:r w:rsidR="00DF3B20">
        <w:rPr>
          <w:rFonts w:ascii="Times New Roman" w:hAnsi="Times New Roman"/>
          <w:sz w:val="24"/>
          <w:szCs w:val="24"/>
        </w:rPr>
        <w:t xml:space="preserve">a </w:t>
      </w:r>
      <w:r w:rsidR="00942BA1">
        <w:rPr>
          <w:rFonts w:ascii="Times New Roman" w:hAnsi="Times New Roman"/>
          <w:sz w:val="24"/>
          <w:szCs w:val="24"/>
        </w:rPr>
        <w:t>subsequent government investigation</w:t>
      </w:r>
      <w:r>
        <w:rPr>
          <w:rFonts w:ascii="Times New Roman" w:hAnsi="Times New Roman"/>
          <w:sz w:val="24"/>
          <w:szCs w:val="24"/>
        </w:rPr>
        <w:t>.</w:t>
      </w:r>
      <w:r w:rsidR="00942BA1">
        <w:rPr>
          <w:rFonts w:ascii="Times New Roman" w:hAnsi="Times New Roman"/>
          <w:sz w:val="24"/>
          <w:szCs w:val="24"/>
        </w:rPr>
        <w:t xml:space="preserve">  Preparation, education and documentation are essential.  </w:t>
      </w:r>
      <w:r>
        <w:rPr>
          <w:rFonts w:ascii="Times New Roman" w:hAnsi="Times New Roman"/>
          <w:sz w:val="24"/>
          <w:szCs w:val="24"/>
        </w:rPr>
        <w:t>If your orga</w:t>
      </w:r>
      <w:r w:rsidR="00942BA1">
        <w:rPr>
          <w:rFonts w:ascii="Times New Roman" w:hAnsi="Times New Roman"/>
          <w:sz w:val="24"/>
          <w:szCs w:val="24"/>
        </w:rPr>
        <w:t xml:space="preserve">nization </w:t>
      </w:r>
      <w:r>
        <w:rPr>
          <w:rFonts w:ascii="Times New Roman" w:hAnsi="Times New Roman"/>
          <w:sz w:val="24"/>
          <w:szCs w:val="24"/>
        </w:rPr>
        <w:t>has not prepared an incident response plan,</w:t>
      </w:r>
      <w:r w:rsidR="00942BA1">
        <w:rPr>
          <w:rFonts w:ascii="Times New Roman" w:hAnsi="Times New Roman"/>
          <w:sz w:val="24"/>
          <w:szCs w:val="24"/>
        </w:rPr>
        <w:t xml:space="preserve"> </w:t>
      </w:r>
      <w:r w:rsidR="00717938">
        <w:rPr>
          <w:rFonts w:ascii="Times New Roman" w:hAnsi="Times New Roman"/>
          <w:sz w:val="24"/>
          <w:szCs w:val="24"/>
        </w:rPr>
        <w:t>it should.  Consider adding “incident response plan” to the next compliance committee meeting agenda</w:t>
      </w:r>
      <w:r w:rsidR="00942BA1">
        <w:rPr>
          <w:rFonts w:ascii="Times New Roman" w:hAnsi="Times New Roman"/>
          <w:sz w:val="24"/>
          <w:szCs w:val="24"/>
        </w:rPr>
        <w:t xml:space="preserve">.  If your employees </w:t>
      </w:r>
      <w:r w:rsidR="00717938">
        <w:rPr>
          <w:rFonts w:ascii="Times New Roman" w:hAnsi="Times New Roman"/>
          <w:sz w:val="24"/>
          <w:szCs w:val="24"/>
        </w:rPr>
        <w:t xml:space="preserve">have not been educated about the </w:t>
      </w:r>
      <w:r w:rsidR="00DF3B20">
        <w:rPr>
          <w:rFonts w:ascii="Times New Roman" w:hAnsi="Times New Roman"/>
          <w:sz w:val="24"/>
          <w:szCs w:val="24"/>
        </w:rPr>
        <w:t xml:space="preserve">current </w:t>
      </w:r>
      <w:r w:rsidR="00942BA1">
        <w:rPr>
          <w:rFonts w:ascii="Times New Roman" w:hAnsi="Times New Roman"/>
          <w:sz w:val="24"/>
          <w:szCs w:val="24"/>
        </w:rPr>
        <w:t>cyber threats and security risks, they s</w:t>
      </w:r>
      <w:r w:rsidR="00DF3B20">
        <w:rPr>
          <w:rFonts w:ascii="Times New Roman" w:hAnsi="Times New Roman"/>
          <w:sz w:val="24"/>
          <w:szCs w:val="24"/>
        </w:rPr>
        <w:t xml:space="preserve">hould </w:t>
      </w:r>
      <w:r w:rsidR="00DF3B20" w:rsidRPr="00717938">
        <w:rPr>
          <w:rFonts w:ascii="Times New Roman" w:hAnsi="Times New Roman"/>
          <w:sz w:val="24"/>
          <w:szCs w:val="24"/>
        </w:rPr>
        <w:t>be</w:t>
      </w:r>
      <w:r w:rsidR="00717938" w:rsidRPr="00717938">
        <w:rPr>
          <w:rFonts w:ascii="Times New Roman" w:hAnsi="Times New Roman"/>
          <w:sz w:val="24"/>
          <w:szCs w:val="24"/>
        </w:rPr>
        <w:t xml:space="preserve"> </w:t>
      </w:r>
      <w:r w:rsidR="0073330A">
        <w:rPr>
          <w:rFonts w:ascii="Times New Roman" w:hAnsi="Times New Roman"/>
          <w:b/>
          <w:sz w:val="24"/>
          <w:szCs w:val="24"/>
        </w:rPr>
        <w:t>–</w:t>
      </w:r>
      <w:r w:rsidR="00717938">
        <w:rPr>
          <w:rFonts w:ascii="Times New Roman" w:hAnsi="Times New Roman"/>
          <w:sz w:val="24"/>
          <w:szCs w:val="24"/>
        </w:rPr>
        <w:t xml:space="preserve"> </w:t>
      </w:r>
      <w:r w:rsidR="00942BA1">
        <w:rPr>
          <w:rFonts w:ascii="Times New Roman" w:hAnsi="Times New Roman"/>
          <w:sz w:val="24"/>
          <w:szCs w:val="24"/>
        </w:rPr>
        <w:t xml:space="preserve">through multiple communication </w:t>
      </w:r>
      <w:r w:rsidR="00DF3B20">
        <w:rPr>
          <w:rFonts w:ascii="Times New Roman" w:hAnsi="Times New Roman"/>
          <w:sz w:val="24"/>
          <w:szCs w:val="24"/>
        </w:rPr>
        <w:t>channels</w:t>
      </w:r>
      <w:r w:rsidR="00717938">
        <w:rPr>
          <w:rFonts w:ascii="Times New Roman" w:hAnsi="Times New Roman"/>
          <w:sz w:val="24"/>
          <w:szCs w:val="24"/>
        </w:rPr>
        <w:t xml:space="preserve">.   </w:t>
      </w:r>
      <w:r w:rsidR="00942BA1">
        <w:rPr>
          <w:rFonts w:ascii="Times New Roman" w:hAnsi="Times New Roman"/>
          <w:sz w:val="24"/>
          <w:szCs w:val="24"/>
        </w:rPr>
        <w:t xml:space="preserve">Finally, if you are not documenting </w:t>
      </w:r>
      <w:r w:rsidR="00717938">
        <w:rPr>
          <w:rFonts w:ascii="Times New Roman" w:hAnsi="Times New Roman"/>
          <w:sz w:val="24"/>
          <w:szCs w:val="24"/>
        </w:rPr>
        <w:t>all of your efforts</w:t>
      </w:r>
      <w:r w:rsidR="00942BA1">
        <w:rPr>
          <w:rFonts w:ascii="Times New Roman" w:hAnsi="Times New Roman"/>
          <w:sz w:val="24"/>
          <w:szCs w:val="24"/>
        </w:rPr>
        <w:t>, then you w</w:t>
      </w:r>
      <w:r w:rsidR="00DF3B20">
        <w:rPr>
          <w:rFonts w:ascii="Times New Roman" w:hAnsi="Times New Roman"/>
          <w:sz w:val="24"/>
          <w:szCs w:val="24"/>
        </w:rPr>
        <w:t xml:space="preserve">ill have a hard time showing </w:t>
      </w:r>
      <w:r w:rsidR="00942BA1">
        <w:rPr>
          <w:rFonts w:ascii="Times New Roman" w:hAnsi="Times New Roman"/>
          <w:sz w:val="24"/>
          <w:szCs w:val="24"/>
        </w:rPr>
        <w:t xml:space="preserve">the government that you took the </w:t>
      </w:r>
      <w:r w:rsidR="00DF3B20">
        <w:rPr>
          <w:rFonts w:ascii="Times New Roman" w:hAnsi="Times New Roman"/>
          <w:sz w:val="24"/>
          <w:szCs w:val="24"/>
        </w:rPr>
        <w:t xml:space="preserve">necessary and appropriate steps to </w:t>
      </w:r>
      <w:r w:rsidR="00942BA1">
        <w:rPr>
          <w:rFonts w:ascii="Times New Roman" w:hAnsi="Times New Roman"/>
          <w:sz w:val="24"/>
          <w:szCs w:val="24"/>
        </w:rPr>
        <w:t>address the problem.</w:t>
      </w:r>
      <w:r w:rsidR="00DF3B20">
        <w:rPr>
          <w:rFonts w:ascii="Times New Roman" w:hAnsi="Times New Roman"/>
          <w:sz w:val="24"/>
          <w:szCs w:val="24"/>
        </w:rPr>
        <w:t xml:space="preserve">  Now is the time.         </w:t>
      </w:r>
      <w:r w:rsidR="00942BA1">
        <w:rPr>
          <w:rFonts w:ascii="Times New Roman" w:hAnsi="Times New Roman"/>
          <w:sz w:val="24"/>
          <w:szCs w:val="24"/>
        </w:rPr>
        <w:t xml:space="preserve">     </w:t>
      </w:r>
      <w:r>
        <w:rPr>
          <w:rFonts w:ascii="Times New Roman" w:hAnsi="Times New Roman"/>
          <w:sz w:val="24"/>
          <w:szCs w:val="24"/>
        </w:rPr>
        <w:t xml:space="preserve">   </w:t>
      </w:r>
    </w:p>
    <w:sectPr w:rsidR="00F65865" w:rsidRPr="00624DB2" w:rsidSect="00FE0DBA">
      <w:headerReference w:type="default" r:id="rId10"/>
      <w:footerReference w:type="even" r:id="rId11"/>
      <w:footerReference w:type="default" r:id="rId12"/>
      <w:headerReference w:type="first" r:id="rId13"/>
      <w:footerReference w:type="first" r:id="rId14"/>
      <w:pgSz w:w="12240" w:h="15840" w:code="1"/>
      <w:pgMar w:top="1440" w:right="1440" w:bottom="1440" w:left="1440" w:header="1008" w:footer="504"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0B" w:rsidRDefault="002D490B">
      <w:r>
        <w:separator/>
      </w:r>
    </w:p>
  </w:endnote>
  <w:endnote w:type="continuationSeparator" w:id="0">
    <w:p w:rsidR="002D490B" w:rsidRDefault="002D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B7" w:rsidRDefault="000067B7" w:rsidP="00E03533">
    <w:r>
      <w:rPr>
        <w:noProof/>
      </w:rPr>
      <w:t>50371327.2</w:t>
    </w:r>
  </w:p>
  <w:p w:rsidR="000067B7" w:rsidRDefault="000067B7" w:rsidP="00E03533">
    <w:r>
      <w:t>56330294.2</w:t>
    </w:r>
  </w:p>
  <w:p w:rsidR="000067B7" w:rsidRDefault="000067B7">
    <w:r>
      <w:t>56330294.2</w:t>
    </w:r>
  </w:p>
  <w:p w:rsidR="000067B7" w:rsidRDefault="000067B7">
    <w:pPr>
      <w:pStyle w:val="DocID"/>
    </w:pPr>
    <w:r>
      <w:rPr>
        <w:noProof/>
      </w:rPr>
      <w:t>56330294.3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7B7" w:rsidRDefault="000067B7"/>
  <w:p w:rsidR="000067B7" w:rsidRDefault="000067B7">
    <w:pPr>
      <w:pStyle w:val="DocID"/>
    </w:pPr>
    <w:r>
      <w:rPr>
        <w:noProof/>
      </w:rPr>
      <w:t>56330294.3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alias w:val="LetterheadFooter"/>
      <w:tag w:val="iMergeField-LetterheadFooter"/>
      <w:id w:val="261581172"/>
    </w:sdtPr>
    <w:sdtEndPr/>
    <w:sdtContent>
      <w:p w:rsidR="000067B7" w:rsidRDefault="000067B7" w:rsidP="00D60515"/>
      <w:p w:rsidR="000067B7" w:rsidRDefault="002D490B" w:rsidP="00D60515">
        <w:pPr>
          <w:pStyle w:val="Footer"/>
        </w:pPr>
      </w:p>
    </w:sdtContent>
  </w:sdt>
  <w:p w:rsidR="000067B7" w:rsidRDefault="000067B7">
    <w:pPr>
      <w:pStyle w:val="DocID"/>
    </w:pPr>
    <w:r>
      <w:rPr>
        <w:noProof/>
      </w:rPr>
      <w:t>56330294.3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0B" w:rsidRDefault="002D490B">
      <w:r>
        <w:separator/>
      </w:r>
    </w:p>
  </w:footnote>
  <w:footnote w:type="continuationSeparator" w:id="0">
    <w:p w:rsidR="002D490B" w:rsidRDefault="002D490B">
      <w:r>
        <w:continuationSeparator/>
      </w:r>
    </w:p>
  </w:footnote>
  <w:footnote w:id="1">
    <w:p w:rsidR="00761DE4" w:rsidRPr="002719FB" w:rsidRDefault="00761DE4" w:rsidP="00761DE4">
      <w:pPr>
        <w:pStyle w:val="FootnoteText"/>
        <w:jc w:val="both"/>
        <w:rPr>
          <w:rFonts w:ascii="Times New Roman" w:hAnsi="Times New Roman"/>
          <w:sz w:val="20"/>
        </w:rPr>
      </w:pPr>
      <w:r w:rsidRPr="00730489">
        <w:rPr>
          <w:rStyle w:val="FootnoteReference"/>
          <w:rFonts w:ascii="Times New Roman" w:hAnsi="Times New Roman"/>
          <w:szCs w:val="22"/>
        </w:rPr>
        <w:footnoteRef/>
      </w:r>
      <w:r w:rsidR="00957612">
        <w:rPr>
          <w:rFonts w:ascii="Times New Roman" w:hAnsi="Times New Roman"/>
          <w:szCs w:val="22"/>
        </w:rPr>
        <w:t xml:space="preserve">  </w:t>
      </w:r>
      <w:r w:rsidRPr="002719FB">
        <w:rPr>
          <w:rFonts w:ascii="Times New Roman" w:hAnsi="Times New Roman"/>
          <w:sz w:val="20"/>
        </w:rPr>
        <w:t>Separate from the HIPAA Breach Notification Rule, almost every state has a bre</w:t>
      </w:r>
      <w:r w:rsidR="00957612">
        <w:rPr>
          <w:rFonts w:ascii="Times New Roman" w:hAnsi="Times New Roman"/>
          <w:sz w:val="20"/>
        </w:rPr>
        <w:t>ach notification law.  Those laws should be reviewed in short order, as some of those laws are more stringent that the HIPAA Breach Notification Rule</w:t>
      </w:r>
      <w:r w:rsidRPr="002719FB">
        <w:rPr>
          <w:rFonts w:ascii="Times New Roman" w:hAnsi="Times New Roman"/>
          <w:sz w:val="20"/>
        </w:rPr>
        <w:t>.</w:t>
      </w:r>
      <w:r w:rsidR="00957612">
        <w:rPr>
          <w:rFonts w:ascii="Times New Roman" w:hAnsi="Times New Roman"/>
          <w:sz w:val="20"/>
        </w:rPr>
        <w:t xml:space="preserve">  </w:t>
      </w:r>
      <w:r w:rsidRPr="002719FB">
        <w:rPr>
          <w:rFonts w:ascii="Times New Roman" w:hAnsi="Times New Roman"/>
          <w:sz w:val="20"/>
        </w:rPr>
        <w:t xml:space="preserve">     </w:t>
      </w:r>
    </w:p>
  </w:footnote>
  <w:footnote w:id="2">
    <w:p w:rsidR="00787B6A" w:rsidRPr="002719FB" w:rsidRDefault="00787B6A" w:rsidP="00787B6A">
      <w:pPr>
        <w:pStyle w:val="FootnoteText"/>
        <w:jc w:val="both"/>
        <w:rPr>
          <w:rFonts w:ascii="Times New Roman" w:hAnsi="Times New Roman"/>
          <w:sz w:val="20"/>
        </w:rPr>
      </w:pPr>
      <w:r w:rsidRPr="002719FB">
        <w:rPr>
          <w:rStyle w:val="FootnoteReference"/>
          <w:rFonts w:ascii="Times New Roman" w:hAnsi="Times New Roman"/>
          <w:sz w:val="20"/>
        </w:rPr>
        <w:footnoteRef/>
      </w:r>
      <w:r w:rsidR="00957612">
        <w:rPr>
          <w:rFonts w:ascii="Times New Roman" w:hAnsi="Times New Roman"/>
          <w:sz w:val="20"/>
        </w:rPr>
        <w:t xml:space="preserve">  </w:t>
      </w:r>
      <w:r w:rsidRPr="002719FB">
        <w:rPr>
          <w:rFonts w:ascii="Times New Roman" w:hAnsi="Times New Roman"/>
          <w:sz w:val="20"/>
        </w:rPr>
        <w:t xml:space="preserve">“Unsecured PHI” is PHI that has not been rendered unusable, unreadable, or </w:t>
      </w:r>
      <w:r w:rsidR="00B81C12">
        <w:rPr>
          <w:rFonts w:ascii="Times New Roman" w:hAnsi="Times New Roman"/>
          <w:sz w:val="20"/>
        </w:rPr>
        <w:t>indecipherable to unauthorized i</w:t>
      </w:r>
      <w:r w:rsidRPr="002719FB">
        <w:rPr>
          <w:rFonts w:ascii="Times New Roman" w:hAnsi="Times New Roman"/>
          <w:sz w:val="20"/>
        </w:rPr>
        <w:t>ndividuals through the use of a technology or methodology specified by the Secretary in guidance</w:t>
      </w:r>
      <w:r w:rsidR="0024227D" w:rsidRPr="002719FB">
        <w:rPr>
          <w:rFonts w:ascii="Times New Roman" w:hAnsi="Times New Roman"/>
          <w:sz w:val="20"/>
        </w:rPr>
        <w:t xml:space="preserve"> (</w:t>
      </w:r>
      <w:r w:rsidR="0024227D" w:rsidRPr="002719FB">
        <w:rPr>
          <w:rFonts w:ascii="Times New Roman" w:hAnsi="Times New Roman"/>
          <w:i/>
          <w:sz w:val="20"/>
        </w:rPr>
        <w:t>e.g.,</w:t>
      </w:r>
      <w:r w:rsidR="0024227D" w:rsidRPr="002719FB">
        <w:rPr>
          <w:rFonts w:ascii="Times New Roman" w:hAnsi="Times New Roman"/>
          <w:sz w:val="20"/>
        </w:rPr>
        <w:t xml:space="preserve"> PHI that has not been encrypted).</w:t>
      </w:r>
      <w:r w:rsidR="007B5EC8" w:rsidRPr="002719FB">
        <w:rPr>
          <w:rFonts w:ascii="Times New Roman" w:hAnsi="Times New Roman"/>
          <w:sz w:val="20"/>
        </w:rPr>
        <w:t xml:space="preserve">  </w:t>
      </w:r>
    </w:p>
  </w:footnote>
  <w:footnote w:id="3">
    <w:p w:rsidR="002719FB" w:rsidRPr="00DF3B20" w:rsidRDefault="002719FB" w:rsidP="00DF3B20">
      <w:pPr>
        <w:spacing w:after="240"/>
        <w:jc w:val="both"/>
        <w:rPr>
          <w:rFonts w:ascii="Times New Roman" w:hAnsi="Times New Roman"/>
          <w:sz w:val="20"/>
        </w:rPr>
      </w:pPr>
      <w:r w:rsidRPr="002719FB">
        <w:rPr>
          <w:rFonts w:ascii="Times New Roman" w:hAnsi="Times New Roman"/>
          <w:sz w:val="20"/>
        </w:rPr>
        <w:tab/>
      </w:r>
      <w:r w:rsidRPr="002719FB">
        <w:rPr>
          <w:rStyle w:val="FootnoteReference"/>
          <w:rFonts w:ascii="Times New Roman" w:hAnsi="Times New Roman"/>
          <w:sz w:val="20"/>
        </w:rPr>
        <w:footnoteRef/>
      </w:r>
      <w:r w:rsidR="00957612">
        <w:rPr>
          <w:rFonts w:ascii="Times New Roman" w:hAnsi="Times New Roman"/>
          <w:sz w:val="20"/>
        </w:rPr>
        <w:t xml:space="preserve">  The three exceptions to the definition of a Breach are</w:t>
      </w:r>
      <w:r w:rsidRPr="002719FB">
        <w:rPr>
          <w:rFonts w:ascii="Times New Roman" w:hAnsi="Times New Roman"/>
          <w:sz w:val="20"/>
        </w:rPr>
        <w:t>: (i) any unintentional acquisition, access, or use of PHI by a workforce member or person acting under the authority of a Covered Entity or a Business Associate, if such acquisition, access, or use was made in good faith and within the scope of authority and does not result in further use or disclosure in a manner not permitted under the HIPAA Privacy Rule; (ii) any inadvertent disclosure by a person who is authorized to access PHI at a Covered Entity or Business Associate to another person authorized to access PHI at the same Covered Entity or Business Associate, or organized health care arrangement in which the Covered Entity participates, and the information received as a result of such disclosure is not further used or disclosed in a manner not permitted under the HIPAA Privacy Rule; and (iii) disclosure of PHI where a Covered Entity or Business Associate has a good faith belief that an unauthorized person to whom the disclosure was made would not reasonably have been able to retain such information.</w:t>
      </w:r>
    </w:p>
  </w:footnote>
  <w:footnote w:id="4">
    <w:p w:rsidR="00481361" w:rsidRPr="0058697F" w:rsidRDefault="00481361" w:rsidP="00481361">
      <w:pPr>
        <w:spacing w:after="240"/>
        <w:jc w:val="both"/>
        <w:rPr>
          <w:rFonts w:ascii="Times New Roman" w:hAnsi="Times New Roman"/>
          <w:sz w:val="20"/>
        </w:rPr>
      </w:pPr>
      <w:r>
        <w:rPr>
          <w:rFonts w:ascii="Times New Roman" w:hAnsi="Times New Roman"/>
          <w:sz w:val="20"/>
        </w:rPr>
        <w:tab/>
      </w:r>
      <w:r w:rsidRPr="0058697F">
        <w:rPr>
          <w:rStyle w:val="FootnoteReference"/>
          <w:rFonts w:ascii="Times New Roman" w:hAnsi="Times New Roman"/>
          <w:sz w:val="20"/>
        </w:rPr>
        <w:footnoteRef/>
      </w:r>
      <w:r>
        <w:rPr>
          <w:rFonts w:ascii="Times New Roman" w:hAnsi="Times New Roman"/>
          <w:sz w:val="20"/>
        </w:rPr>
        <w:t xml:space="preserve">  </w:t>
      </w:r>
      <w:r w:rsidRPr="0058697F">
        <w:rPr>
          <w:rFonts w:ascii="Times New Roman" w:hAnsi="Times New Roman"/>
          <w:sz w:val="20"/>
        </w:rPr>
        <w:t xml:space="preserve">If the incident involved a ransomware attack, OCR has issued guidance suggesting that </w:t>
      </w:r>
      <w:r>
        <w:rPr>
          <w:rFonts w:ascii="Times New Roman" w:hAnsi="Times New Roman"/>
          <w:sz w:val="20"/>
        </w:rPr>
        <w:t>entities</w:t>
      </w:r>
      <w:r w:rsidRPr="0058697F">
        <w:rPr>
          <w:rFonts w:ascii="Times New Roman" w:hAnsi="Times New Roman"/>
          <w:sz w:val="20"/>
        </w:rPr>
        <w:t xml:space="preserve"> should consider the following in determining whether there is a low probability that the PHI was compromised: (i) the exact type and variant of malware discovered; (ii) the algorithmic steps undertaken by that type of malware; and (iii) whether there were communications, including exfiltration attempts between the malware propagated to other systems, potentially affecting additional sources of ePHI.  According to OCR, by understanding what a particular strain of malware is programmed to do can help determine how or if a particular malware variant may laterally propagate throughout an entity’s enterprise, what types of data the malware is searching for, whether or not the malware may attempt to exfiltrate data, or whether or not the malware deposits hidden malicious software or exploits vulnerabilities to provide future unauthorized access.  OCR also suggests that entities should consider: (i) whether there is a high risk of data unavailability or </w:t>
      </w:r>
      <w:r>
        <w:rPr>
          <w:rFonts w:ascii="Times New Roman" w:hAnsi="Times New Roman"/>
          <w:sz w:val="20"/>
        </w:rPr>
        <w:t xml:space="preserve">a high risk to data integrity; </w:t>
      </w:r>
      <w:r w:rsidRPr="0058697F">
        <w:rPr>
          <w:rFonts w:ascii="Times New Roman" w:hAnsi="Times New Roman"/>
          <w:sz w:val="20"/>
        </w:rPr>
        <w:t>(ii) whether the ransomware deletes the original data and leaves only the data in encrypted form; (iii) whether or not the data has been exfiltrated.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5F" w:rsidRPr="00B5549F" w:rsidRDefault="009F46EA">
    <w:pPr>
      <w:pStyle w:val="Header"/>
      <w:rPr>
        <w:rStyle w:val="PageNumber"/>
        <w:rFonts w:ascii="Times New Roman" w:hAnsi="Times New Roman"/>
        <w:sz w:val="24"/>
      </w:rPr>
    </w:pPr>
    <w:r w:rsidRPr="00B5549F">
      <w:rPr>
        <w:rFonts w:ascii="Times New Roman" w:hAnsi="Times New Roman"/>
        <w:sz w:val="24"/>
      </w:rPr>
      <w:t xml:space="preserve">Page </w:t>
    </w:r>
    <w:r w:rsidRPr="00B5549F">
      <w:rPr>
        <w:rStyle w:val="PageNumber"/>
        <w:rFonts w:ascii="Times New Roman" w:hAnsi="Times New Roman"/>
        <w:sz w:val="24"/>
      </w:rPr>
      <w:fldChar w:fldCharType="begin"/>
    </w:r>
    <w:r w:rsidRPr="00B5549F">
      <w:rPr>
        <w:rStyle w:val="PageNumber"/>
        <w:rFonts w:ascii="Times New Roman" w:hAnsi="Times New Roman"/>
        <w:sz w:val="24"/>
      </w:rPr>
      <w:instrText xml:space="preserve"> PAGE </w:instrText>
    </w:r>
    <w:r w:rsidRPr="00B5549F">
      <w:rPr>
        <w:rStyle w:val="PageNumber"/>
        <w:rFonts w:ascii="Times New Roman" w:hAnsi="Times New Roman"/>
        <w:sz w:val="24"/>
      </w:rPr>
      <w:fldChar w:fldCharType="separate"/>
    </w:r>
    <w:r w:rsidR="002555A0">
      <w:rPr>
        <w:rStyle w:val="PageNumber"/>
        <w:rFonts w:ascii="Times New Roman" w:hAnsi="Times New Roman"/>
        <w:noProof/>
        <w:sz w:val="24"/>
      </w:rPr>
      <w:t>7</w:t>
    </w:r>
    <w:r w:rsidRPr="00B5549F">
      <w:rPr>
        <w:rStyle w:val="PageNumber"/>
        <w:rFonts w:ascii="Times New Roman" w:hAnsi="Times New Roman"/>
        <w:sz w:val="24"/>
      </w:rPr>
      <w:fldChar w:fldCharType="end"/>
    </w:r>
  </w:p>
  <w:p w:rsidR="0082125F" w:rsidRDefault="0082125F">
    <w:pPr>
      <w:pStyle w:val="Header"/>
      <w:rPr>
        <w:rStyle w:val="PageNumber"/>
      </w:rPr>
    </w:pPr>
  </w:p>
  <w:p w:rsidR="0082125F" w:rsidRDefault="0082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CellMar>
        <w:left w:w="0" w:type="dxa"/>
        <w:right w:w="0" w:type="dxa"/>
      </w:tblCellMar>
      <w:tblLook w:val="01E0" w:firstRow="1" w:lastRow="1" w:firstColumn="1" w:lastColumn="1" w:noHBand="0" w:noVBand="0"/>
    </w:tblPr>
    <w:tblGrid>
      <w:gridCol w:w="4785"/>
      <w:gridCol w:w="4575"/>
    </w:tblGrid>
    <w:tr w:rsidR="00EA48ED" w:rsidTr="009E0873">
      <w:tc>
        <w:tcPr>
          <w:tcW w:w="4785" w:type="dxa"/>
        </w:tcPr>
        <w:p w:rsidR="00EA48ED" w:rsidRDefault="00EA48ED" w:rsidP="009E0873">
          <w:pPr>
            <w:pStyle w:val="Header"/>
            <w:tabs>
              <w:tab w:val="clear" w:pos="9360"/>
              <w:tab w:val="right" w:pos="10080"/>
            </w:tabs>
          </w:pPr>
          <w:r>
            <w:rPr>
              <w:noProof/>
            </w:rPr>
            <w:drawing>
              <wp:inline distT="0" distB="0" distL="0" distR="0" wp14:anchorId="76EA1A72" wp14:editId="0E0583E0">
                <wp:extent cx="2095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go_1805_431_2C"/>
                        <pic:cNvPicPr>
                          <a:picLocks noChangeAspect="1" noChangeArrowheads="1"/>
                        </pic:cNvPicPr>
                      </pic:nvPicPr>
                      <pic:blipFill>
                        <a:blip r:embed="rId1">
                          <a:extLst>
                            <a:ext uri="{28A0092B-C50C-407E-A947-70E740481C1C}">
                              <a14:useLocalDpi xmlns:a14="http://schemas.microsoft.com/office/drawing/2010/main" val="0"/>
                            </a:ext>
                          </a:extLst>
                        </a:blip>
                        <a:srcRect l="7343" t="18762" b="12451"/>
                        <a:stretch>
                          <a:fillRect/>
                        </a:stretch>
                      </pic:blipFill>
                      <pic:spPr bwMode="auto">
                        <a:xfrm>
                          <a:off x="0" y="0"/>
                          <a:ext cx="2095500" cy="609600"/>
                        </a:xfrm>
                        <a:prstGeom prst="rect">
                          <a:avLst/>
                        </a:prstGeom>
                        <a:noFill/>
                        <a:ln>
                          <a:noFill/>
                        </a:ln>
                      </pic:spPr>
                    </pic:pic>
                  </a:graphicData>
                </a:graphic>
              </wp:inline>
            </w:drawing>
          </w:r>
        </w:p>
      </w:tc>
      <w:tc>
        <w:tcPr>
          <w:tcW w:w="4575" w:type="dxa"/>
        </w:tcPr>
        <w:p w:rsidR="00EA48ED" w:rsidRDefault="00EA48ED" w:rsidP="009E0873">
          <w:pPr>
            <w:pStyle w:val="Header"/>
            <w:tabs>
              <w:tab w:val="clear" w:pos="9360"/>
              <w:tab w:val="right" w:pos="10080"/>
            </w:tabs>
            <w:spacing w:before="460"/>
            <w:jc w:val="right"/>
          </w:pPr>
        </w:p>
      </w:tc>
    </w:tr>
  </w:tbl>
  <w:p w:rsidR="00EA48ED" w:rsidRDefault="00EA48ED" w:rsidP="00EA48ED">
    <w:pPr>
      <w:pStyle w:val="Header"/>
      <w:tabs>
        <w:tab w:val="clear" w:pos="4680"/>
      </w:tabs>
      <w:rPr>
        <w:b/>
        <w:smallCaps/>
      </w:rPr>
    </w:pPr>
  </w:p>
  <w:p w:rsidR="00EA48ED" w:rsidRDefault="00EA48ED" w:rsidP="00EA48ED">
    <w:pPr>
      <w:pStyle w:val="Header"/>
      <w:tabs>
        <w:tab w:val="clear" w:pos="4680"/>
      </w:tabs>
      <w:rPr>
        <w:b/>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DCF6FA"/>
    <w:lvl w:ilvl="0">
      <w:start w:val="1"/>
      <w:numFmt w:val="decimal"/>
      <w:lvlText w:val="%1."/>
      <w:lvlJc w:val="left"/>
      <w:pPr>
        <w:tabs>
          <w:tab w:val="num" w:pos="1800"/>
        </w:tabs>
        <w:ind w:left="1800" w:hanging="360"/>
      </w:pPr>
    </w:lvl>
  </w:abstractNum>
  <w:abstractNum w:abstractNumId="1">
    <w:nsid w:val="FFFFFF7D"/>
    <w:multiLevelType w:val="singleLevel"/>
    <w:tmpl w:val="08061006"/>
    <w:lvl w:ilvl="0">
      <w:start w:val="1"/>
      <w:numFmt w:val="decimal"/>
      <w:lvlText w:val="%1."/>
      <w:lvlJc w:val="left"/>
      <w:pPr>
        <w:tabs>
          <w:tab w:val="num" w:pos="1440"/>
        </w:tabs>
        <w:ind w:left="1440" w:hanging="360"/>
      </w:pPr>
    </w:lvl>
  </w:abstractNum>
  <w:abstractNum w:abstractNumId="2">
    <w:nsid w:val="FFFFFF7E"/>
    <w:multiLevelType w:val="singleLevel"/>
    <w:tmpl w:val="6C6E420A"/>
    <w:lvl w:ilvl="0">
      <w:start w:val="1"/>
      <w:numFmt w:val="decimal"/>
      <w:lvlText w:val="%1."/>
      <w:lvlJc w:val="left"/>
      <w:pPr>
        <w:tabs>
          <w:tab w:val="num" w:pos="1080"/>
        </w:tabs>
        <w:ind w:left="1080" w:hanging="360"/>
      </w:pPr>
    </w:lvl>
  </w:abstractNum>
  <w:abstractNum w:abstractNumId="3">
    <w:nsid w:val="FFFFFF7F"/>
    <w:multiLevelType w:val="singleLevel"/>
    <w:tmpl w:val="63DEA05C"/>
    <w:lvl w:ilvl="0">
      <w:start w:val="1"/>
      <w:numFmt w:val="decimal"/>
      <w:lvlText w:val="%1."/>
      <w:lvlJc w:val="left"/>
      <w:pPr>
        <w:tabs>
          <w:tab w:val="num" w:pos="720"/>
        </w:tabs>
        <w:ind w:left="720" w:hanging="360"/>
      </w:pPr>
    </w:lvl>
  </w:abstractNum>
  <w:abstractNum w:abstractNumId="4">
    <w:nsid w:val="FFFFFF80"/>
    <w:multiLevelType w:val="singleLevel"/>
    <w:tmpl w:val="0494F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D2C3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36D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EC31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3E5570"/>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5DCCBC0E"/>
    <w:lvl w:ilvl="0">
      <w:start w:val="1"/>
      <w:numFmt w:val="bullet"/>
      <w:pStyle w:val="ListBullet"/>
      <w:lvlText w:val=""/>
      <w:lvlJc w:val="left"/>
      <w:pPr>
        <w:tabs>
          <w:tab w:val="num" w:pos="1440"/>
        </w:tabs>
        <w:ind w:left="1440" w:hanging="720"/>
      </w:pPr>
      <w:rPr>
        <w:rFonts w:ascii="Symbol" w:hAnsi="Symbol" w:hint="default"/>
      </w:rPr>
    </w:lvl>
  </w:abstractNum>
  <w:abstractNum w:abstractNumId="10">
    <w:nsid w:val="00F7269C"/>
    <w:multiLevelType w:val="hybridMultilevel"/>
    <w:tmpl w:val="ECC8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051C64"/>
    <w:multiLevelType w:val="hybridMultilevel"/>
    <w:tmpl w:val="A6AA4A3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nsid w:val="0D952E7D"/>
    <w:multiLevelType w:val="hybridMultilevel"/>
    <w:tmpl w:val="388A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F33BE"/>
    <w:multiLevelType w:val="hybridMultilevel"/>
    <w:tmpl w:val="932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61B18"/>
    <w:multiLevelType w:val="multilevel"/>
    <w:tmpl w:val="2284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412854"/>
    <w:multiLevelType w:val="multilevel"/>
    <w:tmpl w:val="95E4E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3721401"/>
    <w:multiLevelType w:val="hybridMultilevel"/>
    <w:tmpl w:val="2578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C1C40"/>
    <w:multiLevelType w:val="multilevel"/>
    <w:tmpl w:val="6BFAB808"/>
    <w:lvl w:ilvl="0">
      <w:start w:val="1"/>
      <w:numFmt w:val="decimal"/>
      <w:pStyle w:val="Heading1"/>
      <w:lvlText w:val="%1."/>
      <w:lvlJc w:val="left"/>
      <w:pPr>
        <w:tabs>
          <w:tab w:val="num" w:pos="720"/>
        </w:tabs>
        <w:ind w:left="720" w:hanging="720"/>
      </w:pPr>
      <w:rPr>
        <w:rFonts w:hint="default"/>
      </w:rPr>
    </w:lvl>
    <w:lvl w:ilvl="1">
      <w:start w:val="1"/>
      <w:numFmt w:val="lowerLetter"/>
      <w:pStyle w:val="Heading2"/>
      <w:lvlText w:val="%2."/>
      <w:lvlJc w:val="left"/>
      <w:pPr>
        <w:tabs>
          <w:tab w:val="num" w:pos="1440"/>
        </w:tabs>
        <w:ind w:left="1440" w:hanging="720"/>
      </w:pPr>
      <w:rPr>
        <w:rFonts w:hint="default"/>
      </w:rPr>
    </w:lvl>
    <w:lvl w:ilvl="2">
      <w:start w:val="1"/>
      <w:numFmt w:val="lowerRoman"/>
      <w:pStyle w:val="Heading3"/>
      <w:lvlText w:val="%3."/>
      <w:lvlJc w:val="left"/>
      <w:pPr>
        <w:tabs>
          <w:tab w:val="num" w:pos="2160"/>
        </w:tabs>
        <w:ind w:left="2160" w:hanging="720"/>
      </w:pPr>
      <w:rPr>
        <w:rFonts w:hint="default"/>
      </w:rPr>
    </w:lvl>
    <w:lvl w:ilvl="3">
      <w:start w:val="1"/>
      <w:numFmt w:val="decimal"/>
      <w:pStyle w:val="Heading4"/>
      <w:lvlText w:val="(%4)"/>
      <w:lvlJc w:val="left"/>
      <w:pPr>
        <w:tabs>
          <w:tab w:val="num" w:pos="2880"/>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8">
    <w:nsid w:val="2A373242"/>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9">
    <w:nsid w:val="317A3F77"/>
    <w:multiLevelType w:val="hybridMultilevel"/>
    <w:tmpl w:val="0930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500718C"/>
    <w:multiLevelType w:val="hybridMultilevel"/>
    <w:tmpl w:val="C21C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2F147FA"/>
    <w:multiLevelType w:val="hybridMultilevel"/>
    <w:tmpl w:val="F18C41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8C31A4"/>
    <w:multiLevelType w:val="multilevel"/>
    <w:tmpl w:val="203E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99767BF"/>
    <w:multiLevelType w:val="multilevel"/>
    <w:tmpl w:val="B0E6E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16649A"/>
    <w:multiLevelType w:val="multilevel"/>
    <w:tmpl w:val="844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6D6335F"/>
    <w:multiLevelType w:val="hybridMultilevel"/>
    <w:tmpl w:val="A5702A02"/>
    <w:lvl w:ilvl="0" w:tplc="0409000F">
      <w:start w:val="1"/>
      <w:numFmt w:val="decimal"/>
      <w:lvlText w:val="%1."/>
      <w:lvlJc w:val="left"/>
      <w:pPr>
        <w:ind w:left="720" w:hanging="360"/>
      </w:pPr>
    </w:lvl>
    <w:lvl w:ilvl="1" w:tplc="035E6A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356DB7"/>
    <w:multiLevelType w:val="hybridMultilevel"/>
    <w:tmpl w:val="711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284271"/>
    <w:multiLevelType w:val="hybridMultilevel"/>
    <w:tmpl w:val="A4A832B2"/>
    <w:lvl w:ilvl="0" w:tplc="60F651DE">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7"/>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5"/>
  </w:num>
  <w:num w:numId="16">
    <w:abstractNumId w:val="22"/>
  </w:num>
  <w:num w:numId="17">
    <w:abstractNumId w:val="24"/>
  </w:num>
  <w:num w:numId="18">
    <w:abstractNumId w:val="16"/>
  </w:num>
  <w:num w:numId="19">
    <w:abstractNumId w:val="13"/>
  </w:num>
  <w:num w:numId="20">
    <w:abstractNumId w:val="26"/>
  </w:num>
  <w:num w:numId="21">
    <w:abstractNumId w:val="12"/>
  </w:num>
  <w:num w:numId="22">
    <w:abstractNumId w:val="27"/>
  </w:num>
  <w:num w:numId="23">
    <w:abstractNumId w:val="10"/>
  </w:num>
  <w:num w:numId="24">
    <w:abstractNumId w:val="20"/>
  </w:num>
  <w:num w:numId="25">
    <w:abstractNumId w:val="25"/>
  </w:num>
  <w:num w:numId="26">
    <w:abstractNumId w:val="11"/>
  </w:num>
  <w:num w:numId="27">
    <w:abstractNumId w:val="21"/>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66"/>
    <w:rsid w:val="000067B7"/>
    <w:rsid w:val="000075AE"/>
    <w:rsid w:val="000312D7"/>
    <w:rsid w:val="000450AA"/>
    <w:rsid w:val="00051723"/>
    <w:rsid w:val="00054353"/>
    <w:rsid w:val="00054580"/>
    <w:rsid w:val="00061C93"/>
    <w:rsid w:val="00065247"/>
    <w:rsid w:val="000718EF"/>
    <w:rsid w:val="00082C09"/>
    <w:rsid w:val="0009560E"/>
    <w:rsid w:val="000C6053"/>
    <w:rsid w:val="000D191D"/>
    <w:rsid w:val="000D28BC"/>
    <w:rsid w:val="00105366"/>
    <w:rsid w:val="00106DB2"/>
    <w:rsid w:val="0010746C"/>
    <w:rsid w:val="00113C2A"/>
    <w:rsid w:val="001172B0"/>
    <w:rsid w:val="00127F64"/>
    <w:rsid w:val="00130385"/>
    <w:rsid w:val="00135E6C"/>
    <w:rsid w:val="001426E0"/>
    <w:rsid w:val="00144AC0"/>
    <w:rsid w:val="001504A7"/>
    <w:rsid w:val="00153D51"/>
    <w:rsid w:val="001562FF"/>
    <w:rsid w:val="00164A9E"/>
    <w:rsid w:val="00165072"/>
    <w:rsid w:val="001714FD"/>
    <w:rsid w:val="001749EC"/>
    <w:rsid w:val="00184B13"/>
    <w:rsid w:val="00190BCF"/>
    <w:rsid w:val="001A6ED1"/>
    <w:rsid w:val="001B3C6A"/>
    <w:rsid w:val="001B4E92"/>
    <w:rsid w:val="001B7421"/>
    <w:rsid w:val="001C4586"/>
    <w:rsid w:val="001C66E2"/>
    <w:rsid w:val="001C6AAF"/>
    <w:rsid w:val="001D7666"/>
    <w:rsid w:val="001D7C6D"/>
    <w:rsid w:val="001D7E35"/>
    <w:rsid w:val="001D7E57"/>
    <w:rsid w:val="001E0ACD"/>
    <w:rsid w:val="001E452C"/>
    <w:rsid w:val="001E4FC1"/>
    <w:rsid w:val="001F265C"/>
    <w:rsid w:val="001F5450"/>
    <w:rsid w:val="00201A13"/>
    <w:rsid w:val="0021086F"/>
    <w:rsid w:val="00217513"/>
    <w:rsid w:val="002319DA"/>
    <w:rsid w:val="0024227D"/>
    <w:rsid w:val="002555A0"/>
    <w:rsid w:val="002617A8"/>
    <w:rsid w:val="00266F63"/>
    <w:rsid w:val="0027069C"/>
    <w:rsid w:val="002719FB"/>
    <w:rsid w:val="002758FD"/>
    <w:rsid w:val="00277A1C"/>
    <w:rsid w:val="002A408A"/>
    <w:rsid w:val="002C35D9"/>
    <w:rsid w:val="002D10C6"/>
    <w:rsid w:val="002D490B"/>
    <w:rsid w:val="002D4AAA"/>
    <w:rsid w:val="002E528D"/>
    <w:rsid w:val="0030264B"/>
    <w:rsid w:val="0030600A"/>
    <w:rsid w:val="00313DD3"/>
    <w:rsid w:val="003364ED"/>
    <w:rsid w:val="00337DC9"/>
    <w:rsid w:val="00340F43"/>
    <w:rsid w:val="00362EE2"/>
    <w:rsid w:val="003636C6"/>
    <w:rsid w:val="00363B87"/>
    <w:rsid w:val="003650A3"/>
    <w:rsid w:val="00374592"/>
    <w:rsid w:val="00382BAD"/>
    <w:rsid w:val="00382CDC"/>
    <w:rsid w:val="0038771B"/>
    <w:rsid w:val="00391755"/>
    <w:rsid w:val="003961E8"/>
    <w:rsid w:val="003A563A"/>
    <w:rsid w:val="003B0BD1"/>
    <w:rsid w:val="003B0D5D"/>
    <w:rsid w:val="003B438F"/>
    <w:rsid w:val="003B54FE"/>
    <w:rsid w:val="003B71B2"/>
    <w:rsid w:val="003C192E"/>
    <w:rsid w:val="003C7A11"/>
    <w:rsid w:val="003D7599"/>
    <w:rsid w:val="003F2FB4"/>
    <w:rsid w:val="00402B14"/>
    <w:rsid w:val="00412390"/>
    <w:rsid w:val="00423D3D"/>
    <w:rsid w:val="004301C7"/>
    <w:rsid w:val="00430560"/>
    <w:rsid w:val="004308EB"/>
    <w:rsid w:val="0044113D"/>
    <w:rsid w:val="00441411"/>
    <w:rsid w:val="0044583B"/>
    <w:rsid w:val="0047220C"/>
    <w:rsid w:val="00481361"/>
    <w:rsid w:val="004841A9"/>
    <w:rsid w:val="00485BCD"/>
    <w:rsid w:val="00495237"/>
    <w:rsid w:val="004E5686"/>
    <w:rsid w:val="004E587B"/>
    <w:rsid w:val="004E6E87"/>
    <w:rsid w:val="005020D5"/>
    <w:rsid w:val="005052EB"/>
    <w:rsid w:val="00520DEC"/>
    <w:rsid w:val="005240CE"/>
    <w:rsid w:val="0053334D"/>
    <w:rsid w:val="00533D19"/>
    <w:rsid w:val="00535058"/>
    <w:rsid w:val="00541102"/>
    <w:rsid w:val="005731E7"/>
    <w:rsid w:val="00580AB2"/>
    <w:rsid w:val="00584A06"/>
    <w:rsid w:val="00586527"/>
    <w:rsid w:val="0058697F"/>
    <w:rsid w:val="00594D9D"/>
    <w:rsid w:val="00597057"/>
    <w:rsid w:val="005B18CA"/>
    <w:rsid w:val="005B371F"/>
    <w:rsid w:val="005B53EA"/>
    <w:rsid w:val="005C4BCD"/>
    <w:rsid w:val="0060299B"/>
    <w:rsid w:val="00605F9A"/>
    <w:rsid w:val="00611605"/>
    <w:rsid w:val="006205C3"/>
    <w:rsid w:val="00624DB2"/>
    <w:rsid w:val="006372F4"/>
    <w:rsid w:val="006439BD"/>
    <w:rsid w:val="006522BD"/>
    <w:rsid w:val="006724B9"/>
    <w:rsid w:val="00672F7D"/>
    <w:rsid w:val="00681647"/>
    <w:rsid w:val="00682D47"/>
    <w:rsid w:val="00684743"/>
    <w:rsid w:val="00692B2D"/>
    <w:rsid w:val="006A04B9"/>
    <w:rsid w:val="006B2804"/>
    <w:rsid w:val="006B344E"/>
    <w:rsid w:val="006C270B"/>
    <w:rsid w:val="006D15D7"/>
    <w:rsid w:val="006D267D"/>
    <w:rsid w:val="006D445F"/>
    <w:rsid w:val="006D7799"/>
    <w:rsid w:val="006F6EB1"/>
    <w:rsid w:val="00705D9A"/>
    <w:rsid w:val="00714FBA"/>
    <w:rsid w:val="00716CA9"/>
    <w:rsid w:val="00717938"/>
    <w:rsid w:val="00721F21"/>
    <w:rsid w:val="00730489"/>
    <w:rsid w:val="0073330A"/>
    <w:rsid w:val="0073504F"/>
    <w:rsid w:val="007401CD"/>
    <w:rsid w:val="00745C74"/>
    <w:rsid w:val="00753249"/>
    <w:rsid w:val="00755BB1"/>
    <w:rsid w:val="00761DE4"/>
    <w:rsid w:val="00776E1F"/>
    <w:rsid w:val="0077718C"/>
    <w:rsid w:val="00782FD7"/>
    <w:rsid w:val="00787B6A"/>
    <w:rsid w:val="007945B7"/>
    <w:rsid w:val="007A7214"/>
    <w:rsid w:val="007B026A"/>
    <w:rsid w:val="007B5EC8"/>
    <w:rsid w:val="007C1F56"/>
    <w:rsid w:val="007C2340"/>
    <w:rsid w:val="007F2A0A"/>
    <w:rsid w:val="007F3AE6"/>
    <w:rsid w:val="007F57F9"/>
    <w:rsid w:val="0080706E"/>
    <w:rsid w:val="0081036B"/>
    <w:rsid w:val="0081039F"/>
    <w:rsid w:val="00811D5F"/>
    <w:rsid w:val="00815477"/>
    <w:rsid w:val="00816402"/>
    <w:rsid w:val="00820DBF"/>
    <w:rsid w:val="0082125F"/>
    <w:rsid w:val="00822755"/>
    <w:rsid w:val="0082553E"/>
    <w:rsid w:val="008313CE"/>
    <w:rsid w:val="008368BC"/>
    <w:rsid w:val="00851773"/>
    <w:rsid w:val="00855011"/>
    <w:rsid w:val="00863E18"/>
    <w:rsid w:val="0088409A"/>
    <w:rsid w:val="00884BB6"/>
    <w:rsid w:val="00894D71"/>
    <w:rsid w:val="008D76AF"/>
    <w:rsid w:val="0090186B"/>
    <w:rsid w:val="009062E6"/>
    <w:rsid w:val="00942BA1"/>
    <w:rsid w:val="00944622"/>
    <w:rsid w:val="00944E06"/>
    <w:rsid w:val="00957612"/>
    <w:rsid w:val="0096009C"/>
    <w:rsid w:val="009742F2"/>
    <w:rsid w:val="00976A45"/>
    <w:rsid w:val="0098624D"/>
    <w:rsid w:val="00987C2D"/>
    <w:rsid w:val="00990C06"/>
    <w:rsid w:val="009A6C19"/>
    <w:rsid w:val="009C3402"/>
    <w:rsid w:val="009D3D47"/>
    <w:rsid w:val="009E6072"/>
    <w:rsid w:val="009F46EA"/>
    <w:rsid w:val="00A0100A"/>
    <w:rsid w:val="00A032D0"/>
    <w:rsid w:val="00A2156F"/>
    <w:rsid w:val="00A26035"/>
    <w:rsid w:val="00A32C34"/>
    <w:rsid w:val="00A40BE5"/>
    <w:rsid w:val="00A513BA"/>
    <w:rsid w:val="00A53222"/>
    <w:rsid w:val="00A62E95"/>
    <w:rsid w:val="00A646FC"/>
    <w:rsid w:val="00A725D2"/>
    <w:rsid w:val="00A818DF"/>
    <w:rsid w:val="00A819BD"/>
    <w:rsid w:val="00A84004"/>
    <w:rsid w:val="00AA04EC"/>
    <w:rsid w:val="00AA3DC4"/>
    <w:rsid w:val="00AC41E6"/>
    <w:rsid w:val="00AE0AC4"/>
    <w:rsid w:val="00AE5328"/>
    <w:rsid w:val="00AF68E4"/>
    <w:rsid w:val="00AF75BD"/>
    <w:rsid w:val="00B07735"/>
    <w:rsid w:val="00B21A3F"/>
    <w:rsid w:val="00B5549F"/>
    <w:rsid w:val="00B55A66"/>
    <w:rsid w:val="00B562FB"/>
    <w:rsid w:val="00B56E62"/>
    <w:rsid w:val="00B622D8"/>
    <w:rsid w:val="00B63D93"/>
    <w:rsid w:val="00B66860"/>
    <w:rsid w:val="00B80644"/>
    <w:rsid w:val="00B81C12"/>
    <w:rsid w:val="00B83B08"/>
    <w:rsid w:val="00B94429"/>
    <w:rsid w:val="00BA0ADF"/>
    <w:rsid w:val="00BA18BA"/>
    <w:rsid w:val="00BA4C67"/>
    <w:rsid w:val="00BB6224"/>
    <w:rsid w:val="00BB7D76"/>
    <w:rsid w:val="00BC2057"/>
    <w:rsid w:val="00BC566E"/>
    <w:rsid w:val="00BE08AE"/>
    <w:rsid w:val="00BE5C2A"/>
    <w:rsid w:val="00BE6743"/>
    <w:rsid w:val="00C0409E"/>
    <w:rsid w:val="00C05DF7"/>
    <w:rsid w:val="00C25943"/>
    <w:rsid w:val="00C32F25"/>
    <w:rsid w:val="00C34C13"/>
    <w:rsid w:val="00C3636A"/>
    <w:rsid w:val="00C4229D"/>
    <w:rsid w:val="00C43447"/>
    <w:rsid w:val="00C43819"/>
    <w:rsid w:val="00C64B1D"/>
    <w:rsid w:val="00C67AFA"/>
    <w:rsid w:val="00C7388F"/>
    <w:rsid w:val="00CC3C60"/>
    <w:rsid w:val="00CC796D"/>
    <w:rsid w:val="00CD7E0F"/>
    <w:rsid w:val="00CF5214"/>
    <w:rsid w:val="00D06997"/>
    <w:rsid w:val="00D220FC"/>
    <w:rsid w:val="00D24E52"/>
    <w:rsid w:val="00D27151"/>
    <w:rsid w:val="00D30F1D"/>
    <w:rsid w:val="00D37CB0"/>
    <w:rsid w:val="00D65F25"/>
    <w:rsid w:val="00D7643A"/>
    <w:rsid w:val="00D87226"/>
    <w:rsid w:val="00D8756A"/>
    <w:rsid w:val="00DB0003"/>
    <w:rsid w:val="00DC083D"/>
    <w:rsid w:val="00DC1D40"/>
    <w:rsid w:val="00DD56B3"/>
    <w:rsid w:val="00DD62E7"/>
    <w:rsid w:val="00DE33B3"/>
    <w:rsid w:val="00DE56C9"/>
    <w:rsid w:val="00DF0507"/>
    <w:rsid w:val="00DF3B20"/>
    <w:rsid w:val="00DF75C5"/>
    <w:rsid w:val="00E0067E"/>
    <w:rsid w:val="00E22E26"/>
    <w:rsid w:val="00E31D67"/>
    <w:rsid w:val="00E4247E"/>
    <w:rsid w:val="00E717CA"/>
    <w:rsid w:val="00E72DDD"/>
    <w:rsid w:val="00E73E3A"/>
    <w:rsid w:val="00E74DF9"/>
    <w:rsid w:val="00E77DE0"/>
    <w:rsid w:val="00E81D33"/>
    <w:rsid w:val="00EA48ED"/>
    <w:rsid w:val="00EA5701"/>
    <w:rsid w:val="00EB5542"/>
    <w:rsid w:val="00EF267E"/>
    <w:rsid w:val="00F02717"/>
    <w:rsid w:val="00F10E63"/>
    <w:rsid w:val="00F123FC"/>
    <w:rsid w:val="00F26D03"/>
    <w:rsid w:val="00F42B9C"/>
    <w:rsid w:val="00F43A16"/>
    <w:rsid w:val="00F441D5"/>
    <w:rsid w:val="00F4440B"/>
    <w:rsid w:val="00F5088E"/>
    <w:rsid w:val="00F62619"/>
    <w:rsid w:val="00F63D8C"/>
    <w:rsid w:val="00F65865"/>
    <w:rsid w:val="00F916F1"/>
    <w:rsid w:val="00FA4C3E"/>
    <w:rsid w:val="00FA6ED8"/>
    <w:rsid w:val="00FB2EE2"/>
    <w:rsid w:val="00FC5671"/>
    <w:rsid w:val="00FD7A40"/>
    <w:rsid w:val="00FE0DBA"/>
    <w:rsid w:val="00FE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E18"/>
    <w:rPr>
      <w:rFonts w:ascii="Arial" w:hAnsi="Arial"/>
      <w:sz w:val="22"/>
    </w:rPr>
  </w:style>
  <w:style w:type="paragraph" w:styleId="Heading1">
    <w:name w:val="heading 1"/>
    <w:aliases w:val="h1"/>
    <w:basedOn w:val="Normal"/>
    <w:qFormat/>
    <w:pPr>
      <w:numPr>
        <w:numId w:val="3"/>
      </w:numPr>
      <w:spacing w:after="240"/>
      <w:jc w:val="both"/>
      <w:outlineLvl w:val="0"/>
    </w:pPr>
    <w:rPr>
      <w:rFonts w:cs="Arial"/>
      <w:bCs/>
      <w:kern w:val="24"/>
      <w:szCs w:val="24"/>
    </w:rPr>
  </w:style>
  <w:style w:type="paragraph" w:styleId="Heading2">
    <w:name w:val="heading 2"/>
    <w:aliases w:val="h2"/>
    <w:basedOn w:val="Normal"/>
    <w:qFormat/>
    <w:pPr>
      <w:numPr>
        <w:ilvl w:val="1"/>
        <w:numId w:val="3"/>
      </w:numPr>
      <w:spacing w:after="240"/>
      <w:jc w:val="both"/>
      <w:outlineLvl w:val="1"/>
    </w:pPr>
    <w:rPr>
      <w:rFonts w:cs="Arial"/>
      <w:bCs/>
      <w:iCs/>
      <w:kern w:val="24"/>
      <w:szCs w:val="24"/>
    </w:rPr>
  </w:style>
  <w:style w:type="paragraph" w:styleId="Heading3">
    <w:name w:val="heading 3"/>
    <w:aliases w:val="h3"/>
    <w:basedOn w:val="Normal"/>
    <w:qFormat/>
    <w:pPr>
      <w:numPr>
        <w:ilvl w:val="2"/>
        <w:numId w:val="3"/>
      </w:numPr>
      <w:spacing w:after="240"/>
      <w:jc w:val="both"/>
      <w:outlineLvl w:val="2"/>
    </w:pPr>
    <w:rPr>
      <w:rFonts w:cs="Arial"/>
      <w:bCs/>
      <w:kern w:val="24"/>
      <w:szCs w:val="24"/>
    </w:rPr>
  </w:style>
  <w:style w:type="paragraph" w:styleId="Heading4">
    <w:name w:val="heading 4"/>
    <w:aliases w:val="h4"/>
    <w:basedOn w:val="Normal"/>
    <w:qFormat/>
    <w:pPr>
      <w:numPr>
        <w:ilvl w:val="3"/>
        <w:numId w:val="3"/>
      </w:numPr>
      <w:spacing w:after="240"/>
      <w:jc w:val="both"/>
      <w:outlineLvl w:val="3"/>
    </w:pPr>
    <w:rPr>
      <w:bCs/>
      <w:kern w:val="24"/>
      <w:szCs w:val="24"/>
    </w:rPr>
  </w:style>
  <w:style w:type="paragraph" w:styleId="Heading5">
    <w:name w:val="heading 5"/>
    <w:aliases w:val="h5"/>
    <w:basedOn w:val="Normal"/>
    <w:qFormat/>
    <w:pPr>
      <w:numPr>
        <w:ilvl w:val="4"/>
        <w:numId w:val="3"/>
      </w:numPr>
      <w:spacing w:after="240"/>
      <w:jc w:val="both"/>
      <w:outlineLvl w:val="4"/>
    </w:pPr>
    <w:rPr>
      <w:bCs/>
      <w:iCs/>
      <w:kern w:val="24"/>
      <w:szCs w:val="24"/>
    </w:rPr>
  </w:style>
  <w:style w:type="paragraph" w:styleId="Heading6">
    <w:name w:val="heading 6"/>
    <w:aliases w:val="h6"/>
    <w:basedOn w:val="Normal"/>
    <w:qFormat/>
    <w:pPr>
      <w:numPr>
        <w:ilvl w:val="5"/>
        <w:numId w:val="3"/>
      </w:numPr>
      <w:spacing w:after="240"/>
      <w:jc w:val="both"/>
      <w:outlineLvl w:val="5"/>
    </w:pPr>
    <w:rPr>
      <w:bCs/>
      <w:kern w:val="24"/>
      <w:szCs w:val="24"/>
    </w:rPr>
  </w:style>
  <w:style w:type="paragraph" w:styleId="Heading7">
    <w:name w:val="heading 7"/>
    <w:aliases w:val="h7"/>
    <w:basedOn w:val="Normal"/>
    <w:qFormat/>
    <w:pPr>
      <w:numPr>
        <w:ilvl w:val="6"/>
        <w:numId w:val="3"/>
      </w:numPr>
      <w:spacing w:after="240"/>
      <w:jc w:val="both"/>
      <w:outlineLvl w:val="6"/>
    </w:pPr>
    <w:rPr>
      <w:kern w:val="24"/>
      <w:szCs w:val="24"/>
    </w:rPr>
  </w:style>
  <w:style w:type="paragraph" w:styleId="Heading8">
    <w:name w:val="heading 8"/>
    <w:aliases w:val="h8"/>
    <w:basedOn w:val="Normal"/>
    <w:qFormat/>
    <w:pPr>
      <w:numPr>
        <w:ilvl w:val="7"/>
        <w:numId w:val="3"/>
      </w:numPr>
      <w:spacing w:after="240"/>
      <w:jc w:val="both"/>
      <w:outlineLvl w:val="7"/>
    </w:pPr>
    <w:rPr>
      <w:iCs/>
      <w:kern w:val="24"/>
      <w:szCs w:val="24"/>
    </w:rPr>
  </w:style>
  <w:style w:type="paragraph" w:styleId="Heading9">
    <w:name w:val="heading 9"/>
    <w:aliases w:val="h9"/>
    <w:basedOn w:val="Normal"/>
    <w:qFormat/>
    <w:pPr>
      <w:numPr>
        <w:ilvl w:val="8"/>
        <w:numId w:val="3"/>
      </w:numPr>
      <w:spacing w:after="240"/>
      <w:jc w:val="both"/>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style>
  <w:style w:type="paragraph" w:styleId="BlockText">
    <w:name w:val="Block Text"/>
    <w:basedOn w:val="Normal"/>
    <w:pPr>
      <w:spacing w:after="240"/>
      <w:ind w:left="720" w:right="720"/>
      <w:jc w:val="both"/>
    </w:pPr>
    <w:rPr>
      <w:szCs w:val="24"/>
    </w:rPr>
  </w:style>
  <w:style w:type="paragraph" w:styleId="BodyText">
    <w:name w:val="Body Text"/>
    <w:basedOn w:val="Normal"/>
    <w:link w:val="BodyTextChar"/>
    <w:pPr>
      <w:spacing w:after="240"/>
      <w:jc w:val="both"/>
    </w:pPr>
    <w:rPr>
      <w:szCs w:val="24"/>
    </w:rPr>
  </w:style>
  <w:style w:type="paragraph" w:styleId="BodyText2">
    <w:name w:val="Body Text 2"/>
    <w:basedOn w:val="Normal"/>
    <w:pPr>
      <w:spacing w:line="480" w:lineRule="auto"/>
      <w:jc w:val="both"/>
    </w:pPr>
    <w:rPr>
      <w:szCs w:val="24"/>
    </w:rPr>
  </w:style>
  <w:style w:type="paragraph" w:styleId="BodyTextFirstIndent">
    <w:name w:val="Body Text First Indent"/>
    <w:basedOn w:val="Normal"/>
    <w:pPr>
      <w:spacing w:after="240"/>
      <w:ind w:firstLine="720"/>
      <w:jc w:val="both"/>
    </w:pPr>
    <w:rPr>
      <w:szCs w:val="24"/>
    </w:rPr>
  </w:style>
  <w:style w:type="paragraph" w:styleId="ListBullet">
    <w:name w:val="List Bullet"/>
    <w:basedOn w:val="Normal"/>
    <w:pPr>
      <w:numPr>
        <w:numId w:val="1"/>
      </w:numPr>
      <w:spacing w:after="240"/>
      <w:jc w:val="both"/>
    </w:pPr>
  </w:style>
  <w:style w:type="paragraph" w:styleId="BodyTextFirstIndent2">
    <w:name w:val="Body Text First Indent 2"/>
    <w:basedOn w:val="Normal"/>
    <w:pPr>
      <w:spacing w:line="480" w:lineRule="auto"/>
      <w:ind w:firstLine="720"/>
      <w:jc w:val="both"/>
    </w:pPr>
    <w:rPr>
      <w:szCs w:val="24"/>
    </w:rPr>
  </w:style>
  <w:style w:type="paragraph" w:styleId="Footer">
    <w:name w:val="footer"/>
    <w:basedOn w:val="Normal"/>
    <w:semiHidden/>
    <w:pPr>
      <w:tabs>
        <w:tab w:val="center" w:pos="4680"/>
        <w:tab w:val="right" w:pos="9360"/>
      </w:tabs>
    </w:pPr>
    <w:rPr>
      <w:szCs w:val="24"/>
    </w:rPr>
  </w:style>
  <w:style w:type="paragraph" w:styleId="FootnoteText">
    <w:name w:val="footnote text"/>
    <w:basedOn w:val="Normal"/>
    <w:link w:val="FootnoteTextChar"/>
    <w:semiHidden/>
    <w:pPr>
      <w:spacing w:after="240"/>
      <w:ind w:firstLine="720"/>
    </w:pPr>
  </w:style>
  <w:style w:type="paragraph" w:styleId="Header">
    <w:name w:val="header"/>
    <w:basedOn w:val="Normal"/>
    <w:pPr>
      <w:tabs>
        <w:tab w:val="center" w:pos="4680"/>
        <w:tab w:val="right" w:pos="9360"/>
      </w:tabs>
    </w:pPr>
    <w:rPr>
      <w:szCs w:val="24"/>
    </w:rPr>
  </w:style>
  <w:style w:type="paragraph" w:styleId="Signature">
    <w:name w:val="Signature"/>
    <w:basedOn w:val="Normal"/>
    <w:pPr>
      <w:spacing w:after="240"/>
      <w:ind w:left="4320"/>
    </w:pPr>
    <w:rPr>
      <w:szCs w:val="24"/>
    </w:rPr>
  </w:style>
  <w:style w:type="paragraph" w:customStyle="1" w:styleId="TableText">
    <w:name w:val="Table Text"/>
    <w:basedOn w:val="Normal"/>
    <w:semiHidden/>
    <w:rPr>
      <w:szCs w:val="24"/>
    </w:rPr>
  </w:style>
  <w:style w:type="paragraph" w:styleId="Title">
    <w:name w:val="Title"/>
    <w:basedOn w:val="Normal"/>
    <w:qFormat/>
    <w:pPr>
      <w:keepNext/>
      <w:spacing w:after="240"/>
      <w:jc w:val="center"/>
      <w:outlineLvl w:val="0"/>
    </w:pPr>
    <w:rPr>
      <w:rFonts w:cs="Arial"/>
      <w:b/>
      <w:bCs/>
      <w:caps/>
      <w:szCs w:val="24"/>
    </w:rPr>
  </w:style>
  <w:style w:type="paragraph" w:customStyle="1" w:styleId="Title2">
    <w:name w:val="Title 2"/>
    <w:basedOn w:val="Normal"/>
    <w:next w:val="BodyTextFirstIndent"/>
    <w:pPr>
      <w:keepNext/>
      <w:spacing w:after="240"/>
      <w:jc w:val="center"/>
    </w:pPr>
    <w:rPr>
      <w:b/>
      <w:caps/>
      <w:szCs w:val="24"/>
      <w:u w:val="single"/>
    </w:rPr>
  </w:style>
  <w:style w:type="paragraph" w:customStyle="1" w:styleId="Title3">
    <w:name w:val="Title 3"/>
    <w:basedOn w:val="Normal"/>
    <w:next w:val="BodyTextFirstIndent"/>
    <w:pPr>
      <w:spacing w:after="240"/>
      <w:jc w:val="center"/>
    </w:pPr>
    <w:rPr>
      <w:b/>
      <w:szCs w:val="24"/>
    </w:rPr>
  </w:style>
  <w:style w:type="paragraph" w:customStyle="1" w:styleId="FooterLandscape">
    <w:name w:val="Footer Landscape"/>
    <w:basedOn w:val="Normal"/>
    <w:semiHidden/>
    <w:pPr>
      <w:tabs>
        <w:tab w:val="center" w:pos="6480"/>
        <w:tab w:val="right" w:pos="12960"/>
      </w:tabs>
    </w:pPr>
  </w:style>
  <w:style w:type="paragraph" w:customStyle="1" w:styleId="HeaderLandscape">
    <w:name w:val="Header Landscape"/>
    <w:basedOn w:val="Normal"/>
    <w:semiHidden/>
    <w:pPr>
      <w:tabs>
        <w:tab w:val="center" w:pos="6480"/>
        <w:tab w:val="right" w:pos="12960"/>
      </w:tabs>
    </w:pPr>
  </w:style>
  <w:style w:type="paragraph" w:styleId="ListNumber">
    <w:name w:val="List Number"/>
    <w:basedOn w:val="Normal"/>
    <w:pPr>
      <w:numPr>
        <w:numId w:val="2"/>
      </w:numPr>
      <w:spacing w:after="240"/>
      <w:jc w:val="both"/>
    </w:p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semiHidden/>
    <w:pPr>
      <w:spacing w:after="240"/>
      <w:jc w:val="center"/>
    </w:pPr>
    <w:rPr>
      <w:b/>
      <w:smallCaps/>
      <w:sz w:val="44"/>
      <w:szCs w:val="44"/>
    </w:rPr>
  </w:style>
  <w:style w:type="paragraph" w:customStyle="1" w:styleId="MemoTable">
    <w:name w:val="Memo Table"/>
    <w:basedOn w:val="Normal"/>
    <w:link w:val="MemoTableChar"/>
    <w:semiHidden/>
  </w:style>
  <w:style w:type="character" w:styleId="PageNumber">
    <w:name w:val="page number"/>
    <w:basedOn w:val="DefaultParagraphFont"/>
    <w:semiHidden/>
  </w:style>
  <w:style w:type="paragraph" w:customStyle="1" w:styleId="bccList">
    <w:name w:val="bcc List"/>
    <w:basedOn w:val="Normal"/>
    <w:next w:val="BodyText"/>
    <w:semiHidden/>
    <w:pPr>
      <w:pageBreakBefore/>
      <w:ind w:left="720" w:hanging="720"/>
    </w:pPr>
  </w:style>
  <w:style w:type="paragraph" w:customStyle="1" w:styleId="ccList">
    <w:name w:val="cc List"/>
    <w:basedOn w:val="Normal"/>
    <w:semiHidden/>
    <w:pPr>
      <w:ind w:left="720" w:hanging="720"/>
    </w:pPr>
  </w:style>
  <w:style w:type="paragraph" w:customStyle="1" w:styleId="Initials">
    <w:name w:val="Initials"/>
    <w:basedOn w:val="Normal"/>
    <w:next w:val="Normal"/>
    <w:semiHidden/>
  </w:style>
  <w:style w:type="paragraph" w:customStyle="1" w:styleId="DocID">
    <w:name w:val="DocID"/>
    <w:basedOn w:val="Footer"/>
    <w:next w:val="Footer"/>
    <w:link w:val="DocIDChar"/>
    <w:rsid w:val="000067B7"/>
    <w:pPr>
      <w:tabs>
        <w:tab w:val="clear" w:pos="4680"/>
        <w:tab w:val="clear" w:pos="9360"/>
      </w:tabs>
    </w:pPr>
    <w:rPr>
      <w:rFonts w:ascii="Times New Roman" w:hAnsi="Times New Roman"/>
      <w:caps/>
      <w:sz w:val="16"/>
    </w:rPr>
  </w:style>
  <w:style w:type="paragraph" w:styleId="List">
    <w:name w:val="List"/>
    <w:basedOn w:val="Normal"/>
    <w:semiHidden/>
    <w:pPr>
      <w:spacing w:after="240"/>
      <w:ind w:left="720"/>
      <w:jc w:val="both"/>
    </w:pPr>
    <w:rPr>
      <w:szCs w:val="24"/>
    </w:rPr>
  </w:style>
  <w:style w:type="paragraph" w:styleId="List2">
    <w:name w:val="List 2"/>
    <w:basedOn w:val="Normal"/>
    <w:semiHidden/>
    <w:pPr>
      <w:spacing w:after="240"/>
      <w:ind w:left="1440"/>
      <w:jc w:val="both"/>
    </w:pPr>
    <w:rPr>
      <w:szCs w:val="24"/>
    </w:rPr>
  </w:style>
  <w:style w:type="paragraph" w:styleId="List3">
    <w:name w:val="List 3"/>
    <w:basedOn w:val="Normal"/>
    <w:semiHidden/>
    <w:pPr>
      <w:spacing w:after="240"/>
      <w:ind w:left="2160"/>
      <w:jc w:val="both"/>
    </w:pPr>
    <w:rPr>
      <w:szCs w:val="24"/>
    </w:rPr>
  </w:style>
  <w:style w:type="paragraph" w:styleId="List4">
    <w:name w:val="List 4"/>
    <w:basedOn w:val="Normal"/>
    <w:semiHidden/>
    <w:pPr>
      <w:spacing w:after="240"/>
      <w:ind w:left="2880"/>
      <w:jc w:val="both"/>
    </w:pPr>
    <w:rPr>
      <w:szCs w:val="24"/>
    </w:rPr>
  </w:style>
  <w:style w:type="paragraph" w:styleId="List5">
    <w:name w:val="List 5"/>
    <w:basedOn w:val="Normal"/>
    <w:semiHidden/>
    <w:pPr>
      <w:spacing w:after="240"/>
      <w:ind w:left="3600"/>
      <w:jc w:val="both"/>
    </w:pPr>
    <w:rPr>
      <w:szCs w:val="24"/>
    </w:rPr>
  </w:style>
  <w:style w:type="paragraph" w:customStyle="1" w:styleId="cclist0">
    <w:name w:val="cc list"/>
    <w:basedOn w:val="Normal"/>
    <w:semiHidden/>
  </w:style>
  <w:style w:type="paragraph" w:customStyle="1" w:styleId="bcclist0">
    <w:name w:val="bcc list"/>
    <w:basedOn w:val="cclist0"/>
    <w:semiHidden/>
    <w:pPr>
      <w:pageBreakBefore/>
    </w:pPr>
  </w:style>
  <w:style w:type="character" w:styleId="FootnoteReference">
    <w:name w:val="footnote reference"/>
    <w:basedOn w:val="DefaultParagraphFont"/>
    <w:semiHidden/>
    <w:rPr>
      <w:vertAlign w:val="superscript"/>
    </w:rPr>
  </w:style>
  <w:style w:type="character" w:styleId="PlaceholderText">
    <w:name w:val="Placeholder Text"/>
    <w:basedOn w:val="DefaultParagraphFont"/>
    <w:uiPriority w:val="99"/>
    <w:semiHidden/>
    <w:rsid w:val="0044583B"/>
    <w:rPr>
      <w:color w:val="808080"/>
    </w:rPr>
  </w:style>
  <w:style w:type="paragraph" w:styleId="Date">
    <w:name w:val="Date"/>
    <w:basedOn w:val="Normal"/>
    <w:next w:val="Normal"/>
    <w:link w:val="DateChar"/>
    <w:rsid w:val="006B2804"/>
  </w:style>
  <w:style w:type="character" w:customStyle="1" w:styleId="DateChar">
    <w:name w:val="Date Char"/>
    <w:basedOn w:val="DefaultParagraphFont"/>
    <w:link w:val="Date"/>
    <w:rsid w:val="006B2804"/>
    <w:rPr>
      <w:sz w:val="24"/>
    </w:rPr>
  </w:style>
  <w:style w:type="paragraph" w:customStyle="1" w:styleId="UnnumberedHeading1">
    <w:name w:val="Unnumbered Heading 1"/>
    <w:basedOn w:val="Normal"/>
    <w:rsid w:val="00B55A66"/>
    <w:pPr>
      <w:spacing w:after="240"/>
      <w:jc w:val="both"/>
    </w:pPr>
    <w:rPr>
      <w:b/>
      <w:caps/>
    </w:rPr>
  </w:style>
  <w:style w:type="paragraph" w:customStyle="1" w:styleId="IRSCircular">
    <w:name w:val="IRS Circular"/>
    <w:basedOn w:val="UnnumberedHeading1"/>
    <w:rsid w:val="00B55A66"/>
    <w:pPr>
      <w:spacing w:before="240" w:after="0"/>
    </w:pPr>
  </w:style>
  <w:style w:type="paragraph" w:styleId="BalloonText">
    <w:name w:val="Balloon Text"/>
    <w:basedOn w:val="Normal"/>
    <w:link w:val="BalloonTextChar"/>
    <w:rsid w:val="00EA48ED"/>
    <w:rPr>
      <w:rFonts w:ascii="Tahoma" w:hAnsi="Tahoma" w:cs="Tahoma"/>
      <w:sz w:val="16"/>
      <w:szCs w:val="16"/>
    </w:rPr>
  </w:style>
  <w:style w:type="character" w:customStyle="1" w:styleId="BalloonTextChar">
    <w:name w:val="Balloon Text Char"/>
    <w:basedOn w:val="DefaultParagraphFont"/>
    <w:link w:val="BalloonText"/>
    <w:rsid w:val="00EA48ED"/>
    <w:rPr>
      <w:rFonts w:ascii="Tahoma" w:hAnsi="Tahoma" w:cs="Tahoma"/>
      <w:sz w:val="16"/>
      <w:szCs w:val="16"/>
    </w:rPr>
  </w:style>
  <w:style w:type="paragraph" w:customStyle="1" w:styleId="Delivery">
    <w:name w:val="Delivery"/>
    <w:basedOn w:val="Normal"/>
    <w:semiHidden/>
    <w:rsid w:val="00E717CA"/>
    <w:pPr>
      <w:spacing w:after="240"/>
    </w:pPr>
    <w:rPr>
      <w:rFonts w:ascii="Times New Roman" w:hAnsi="Times New Roman"/>
      <w:b/>
      <w:sz w:val="24"/>
      <w:szCs w:val="24"/>
    </w:rPr>
  </w:style>
  <w:style w:type="paragraph" w:customStyle="1" w:styleId="Enclosure">
    <w:name w:val="Enclosure"/>
    <w:basedOn w:val="Normal"/>
    <w:next w:val="ccList"/>
    <w:semiHidden/>
    <w:rsid w:val="001714FD"/>
    <w:rPr>
      <w:sz w:val="20"/>
    </w:rPr>
  </w:style>
  <w:style w:type="paragraph" w:customStyle="1" w:styleId="PrivilegeBlock">
    <w:name w:val="PrivilegeBlock"/>
    <w:basedOn w:val="Normal"/>
    <w:rsid w:val="00144AC0"/>
    <w:pPr>
      <w:spacing w:before="240" w:after="240" w:line="240" w:lineRule="atLeast"/>
    </w:pPr>
    <w:rPr>
      <w:rFonts w:cs="Arial"/>
      <w:b/>
      <w:caps/>
      <w:szCs w:val="22"/>
    </w:rPr>
  </w:style>
  <w:style w:type="paragraph" w:customStyle="1" w:styleId="TaxInfo">
    <w:name w:val="TaxInfo"/>
    <w:basedOn w:val="Normal"/>
    <w:rsid w:val="00D06997"/>
    <w:pPr>
      <w:jc w:val="both"/>
    </w:pPr>
    <w:rPr>
      <w:b/>
      <w:caps/>
    </w:rPr>
  </w:style>
  <w:style w:type="character" w:styleId="Hyperlink">
    <w:name w:val="Hyperlink"/>
    <w:basedOn w:val="DefaultParagraphFont"/>
    <w:uiPriority w:val="99"/>
    <w:unhideWhenUsed/>
    <w:rsid w:val="001D7666"/>
    <w:rPr>
      <w:color w:val="0000FF"/>
      <w:u w:val="single"/>
    </w:rPr>
  </w:style>
  <w:style w:type="character" w:customStyle="1" w:styleId="MemoTableChar">
    <w:name w:val="Memo Table Char"/>
    <w:basedOn w:val="DefaultParagraphFont"/>
    <w:link w:val="MemoTable"/>
    <w:semiHidden/>
    <w:rsid w:val="00AA04EC"/>
    <w:rPr>
      <w:rFonts w:ascii="Arial" w:hAnsi="Arial"/>
      <w:sz w:val="22"/>
    </w:rPr>
  </w:style>
  <w:style w:type="character" w:customStyle="1" w:styleId="DocIDChar">
    <w:name w:val="DocID Char"/>
    <w:basedOn w:val="DefaultParagraphFont"/>
    <w:link w:val="DocID"/>
    <w:rsid w:val="000067B7"/>
    <w:rPr>
      <w:caps/>
      <w:sz w:val="16"/>
      <w:szCs w:val="24"/>
    </w:rPr>
  </w:style>
  <w:style w:type="character" w:customStyle="1" w:styleId="BodyTextChar">
    <w:name w:val="Body Text Char"/>
    <w:basedOn w:val="DefaultParagraphFont"/>
    <w:link w:val="BodyText"/>
    <w:rsid w:val="00A53222"/>
    <w:rPr>
      <w:rFonts w:ascii="Arial" w:hAnsi="Arial"/>
      <w:sz w:val="22"/>
      <w:szCs w:val="24"/>
    </w:rPr>
  </w:style>
  <w:style w:type="character" w:customStyle="1" w:styleId="FootnoteTextChar">
    <w:name w:val="Footnote Text Char"/>
    <w:basedOn w:val="DefaultParagraphFont"/>
    <w:link w:val="FootnoteText"/>
    <w:semiHidden/>
    <w:rsid w:val="00A53222"/>
    <w:rPr>
      <w:rFonts w:ascii="Arial" w:hAnsi="Arial"/>
      <w:sz w:val="22"/>
    </w:rPr>
  </w:style>
  <w:style w:type="character" w:customStyle="1" w:styleId="apple-converted-space">
    <w:name w:val="apple-converted-space"/>
    <w:basedOn w:val="DefaultParagraphFont"/>
    <w:rsid w:val="00A53222"/>
  </w:style>
  <w:style w:type="character" w:customStyle="1" w:styleId="cosearchterm">
    <w:name w:val="co_searchterm"/>
    <w:basedOn w:val="DefaultParagraphFont"/>
    <w:rsid w:val="00A53222"/>
  </w:style>
  <w:style w:type="paragraph" w:styleId="ListParagraph">
    <w:name w:val="List Paragraph"/>
    <w:basedOn w:val="Normal"/>
    <w:uiPriority w:val="34"/>
    <w:qFormat/>
    <w:rsid w:val="002A408A"/>
    <w:pPr>
      <w:ind w:left="720"/>
      <w:contextualSpacing/>
    </w:pPr>
  </w:style>
  <w:style w:type="paragraph" w:styleId="EndnoteText">
    <w:name w:val="endnote text"/>
    <w:basedOn w:val="Normal"/>
    <w:link w:val="EndnoteTextChar"/>
    <w:rsid w:val="00B21A3F"/>
    <w:rPr>
      <w:sz w:val="20"/>
    </w:rPr>
  </w:style>
  <w:style w:type="character" w:customStyle="1" w:styleId="EndnoteTextChar">
    <w:name w:val="Endnote Text Char"/>
    <w:basedOn w:val="DefaultParagraphFont"/>
    <w:link w:val="EndnoteText"/>
    <w:rsid w:val="00B21A3F"/>
    <w:rPr>
      <w:rFonts w:ascii="Arial" w:hAnsi="Arial"/>
    </w:rPr>
  </w:style>
  <w:style w:type="character" w:styleId="EndnoteReference">
    <w:name w:val="endnote reference"/>
    <w:basedOn w:val="DefaultParagraphFont"/>
    <w:rsid w:val="00B21A3F"/>
    <w:rPr>
      <w:vertAlign w:val="superscript"/>
    </w:rPr>
  </w:style>
  <w:style w:type="paragraph" w:styleId="NormalWeb">
    <w:name w:val="Normal (Web)"/>
    <w:basedOn w:val="Normal"/>
    <w:uiPriority w:val="99"/>
    <w:unhideWhenUsed/>
    <w:rsid w:val="00E31D67"/>
    <w:pPr>
      <w:spacing w:before="100" w:beforeAutospacing="1" w:after="100" w:afterAutospacing="1"/>
    </w:pPr>
    <w:rPr>
      <w:rFonts w:ascii="Times New Roman" w:hAnsi="Times New Roman"/>
      <w:sz w:val="24"/>
      <w:szCs w:val="24"/>
    </w:rPr>
  </w:style>
  <w:style w:type="paragraph" w:customStyle="1" w:styleId="m-5682902469826802240m5509310536478363241msoplaintext">
    <w:name w:val="m_-5682902469826802240m5509310536478363241msoplaintext"/>
    <w:basedOn w:val="Normal"/>
    <w:rsid w:val="00D87226"/>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E18"/>
    <w:rPr>
      <w:rFonts w:ascii="Arial" w:hAnsi="Arial"/>
      <w:sz w:val="22"/>
    </w:rPr>
  </w:style>
  <w:style w:type="paragraph" w:styleId="Heading1">
    <w:name w:val="heading 1"/>
    <w:aliases w:val="h1"/>
    <w:basedOn w:val="Normal"/>
    <w:qFormat/>
    <w:pPr>
      <w:numPr>
        <w:numId w:val="3"/>
      </w:numPr>
      <w:spacing w:after="240"/>
      <w:jc w:val="both"/>
      <w:outlineLvl w:val="0"/>
    </w:pPr>
    <w:rPr>
      <w:rFonts w:cs="Arial"/>
      <w:bCs/>
      <w:kern w:val="24"/>
      <w:szCs w:val="24"/>
    </w:rPr>
  </w:style>
  <w:style w:type="paragraph" w:styleId="Heading2">
    <w:name w:val="heading 2"/>
    <w:aliases w:val="h2"/>
    <w:basedOn w:val="Normal"/>
    <w:qFormat/>
    <w:pPr>
      <w:numPr>
        <w:ilvl w:val="1"/>
        <w:numId w:val="3"/>
      </w:numPr>
      <w:spacing w:after="240"/>
      <w:jc w:val="both"/>
      <w:outlineLvl w:val="1"/>
    </w:pPr>
    <w:rPr>
      <w:rFonts w:cs="Arial"/>
      <w:bCs/>
      <w:iCs/>
      <w:kern w:val="24"/>
      <w:szCs w:val="24"/>
    </w:rPr>
  </w:style>
  <w:style w:type="paragraph" w:styleId="Heading3">
    <w:name w:val="heading 3"/>
    <w:aliases w:val="h3"/>
    <w:basedOn w:val="Normal"/>
    <w:qFormat/>
    <w:pPr>
      <w:numPr>
        <w:ilvl w:val="2"/>
        <w:numId w:val="3"/>
      </w:numPr>
      <w:spacing w:after="240"/>
      <w:jc w:val="both"/>
      <w:outlineLvl w:val="2"/>
    </w:pPr>
    <w:rPr>
      <w:rFonts w:cs="Arial"/>
      <w:bCs/>
      <w:kern w:val="24"/>
      <w:szCs w:val="24"/>
    </w:rPr>
  </w:style>
  <w:style w:type="paragraph" w:styleId="Heading4">
    <w:name w:val="heading 4"/>
    <w:aliases w:val="h4"/>
    <w:basedOn w:val="Normal"/>
    <w:qFormat/>
    <w:pPr>
      <w:numPr>
        <w:ilvl w:val="3"/>
        <w:numId w:val="3"/>
      </w:numPr>
      <w:spacing w:after="240"/>
      <w:jc w:val="both"/>
      <w:outlineLvl w:val="3"/>
    </w:pPr>
    <w:rPr>
      <w:bCs/>
      <w:kern w:val="24"/>
      <w:szCs w:val="24"/>
    </w:rPr>
  </w:style>
  <w:style w:type="paragraph" w:styleId="Heading5">
    <w:name w:val="heading 5"/>
    <w:aliases w:val="h5"/>
    <w:basedOn w:val="Normal"/>
    <w:qFormat/>
    <w:pPr>
      <w:numPr>
        <w:ilvl w:val="4"/>
        <w:numId w:val="3"/>
      </w:numPr>
      <w:spacing w:after="240"/>
      <w:jc w:val="both"/>
      <w:outlineLvl w:val="4"/>
    </w:pPr>
    <w:rPr>
      <w:bCs/>
      <w:iCs/>
      <w:kern w:val="24"/>
      <w:szCs w:val="24"/>
    </w:rPr>
  </w:style>
  <w:style w:type="paragraph" w:styleId="Heading6">
    <w:name w:val="heading 6"/>
    <w:aliases w:val="h6"/>
    <w:basedOn w:val="Normal"/>
    <w:qFormat/>
    <w:pPr>
      <w:numPr>
        <w:ilvl w:val="5"/>
        <w:numId w:val="3"/>
      </w:numPr>
      <w:spacing w:after="240"/>
      <w:jc w:val="both"/>
      <w:outlineLvl w:val="5"/>
    </w:pPr>
    <w:rPr>
      <w:bCs/>
      <w:kern w:val="24"/>
      <w:szCs w:val="24"/>
    </w:rPr>
  </w:style>
  <w:style w:type="paragraph" w:styleId="Heading7">
    <w:name w:val="heading 7"/>
    <w:aliases w:val="h7"/>
    <w:basedOn w:val="Normal"/>
    <w:qFormat/>
    <w:pPr>
      <w:numPr>
        <w:ilvl w:val="6"/>
        <w:numId w:val="3"/>
      </w:numPr>
      <w:spacing w:after="240"/>
      <w:jc w:val="both"/>
      <w:outlineLvl w:val="6"/>
    </w:pPr>
    <w:rPr>
      <w:kern w:val="24"/>
      <w:szCs w:val="24"/>
    </w:rPr>
  </w:style>
  <w:style w:type="paragraph" w:styleId="Heading8">
    <w:name w:val="heading 8"/>
    <w:aliases w:val="h8"/>
    <w:basedOn w:val="Normal"/>
    <w:qFormat/>
    <w:pPr>
      <w:numPr>
        <w:ilvl w:val="7"/>
        <w:numId w:val="3"/>
      </w:numPr>
      <w:spacing w:after="240"/>
      <w:jc w:val="both"/>
      <w:outlineLvl w:val="7"/>
    </w:pPr>
    <w:rPr>
      <w:iCs/>
      <w:kern w:val="24"/>
      <w:szCs w:val="24"/>
    </w:rPr>
  </w:style>
  <w:style w:type="paragraph" w:styleId="Heading9">
    <w:name w:val="heading 9"/>
    <w:aliases w:val="h9"/>
    <w:basedOn w:val="Normal"/>
    <w:qFormat/>
    <w:pPr>
      <w:numPr>
        <w:ilvl w:val="8"/>
        <w:numId w:val="3"/>
      </w:numPr>
      <w:spacing w:after="240"/>
      <w:jc w:val="both"/>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pacing w:before="240"/>
    </w:pPr>
  </w:style>
  <w:style w:type="paragraph" w:styleId="BlockText">
    <w:name w:val="Block Text"/>
    <w:basedOn w:val="Normal"/>
    <w:pPr>
      <w:spacing w:after="240"/>
      <w:ind w:left="720" w:right="720"/>
      <w:jc w:val="both"/>
    </w:pPr>
    <w:rPr>
      <w:szCs w:val="24"/>
    </w:rPr>
  </w:style>
  <w:style w:type="paragraph" w:styleId="BodyText">
    <w:name w:val="Body Text"/>
    <w:basedOn w:val="Normal"/>
    <w:link w:val="BodyTextChar"/>
    <w:pPr>
      <w:spacing w:after="240"/>
      <w:jc w:val="both"/>
    </w:pPr>
    <w:rPr>
      <w:szCs w:val="24"/>
    </w:rPr>
  </w:style>
  <w:style w:type="paragraph" w:styleId="BodyText2">
    <w:name w:val="Body Text 2"/>
    <w:basedOn w:val="Normal"/>
    <w:pPr>
      <w:spacing w:line="480" w:lineRule="auto"/>
      <w:jc w:val="both"/>
    </w:pPr>
    <w:rPr>
      <w:szCs w:val="24"/>
    </w:rPr>
  </w:style>
  <w:style w:type="paragraph" w:styleId="BodyTextFirstIndent">
    <w:name w:val="Body Text First Indent"/>
    <w:basedOn w:val="Normal"/>
    <w:pPr>
      <w:spacing w:after="240"/>
      <w:ind w:firstLine="720"/>
      <w:jc w:val="both"/>
    </w:pPr>
    <w:rPr>
      <w:szCs w:val="24"/>
    </w:rPr>
  </w:style>
  <w:style w:type="paragraph" w:styleId="ListBullet">
    <w:name w:val="List Bullet"/>
    <w:basedOn w:val="Normal"/>
    <w:pPr>
      <w:numPr>
        <w:numId w:val="1"/>
      </w:numPr>
      <w:spacing w:after="240"/>
      <w:jc w:val="both"/>
    </w:pPr>
  </w:style>
  <w:style w:type="paragraph" w:styleId="BodyTextFirstIndent2">
    <w:name w:val="Body Text First Indent 2"/>
    <w:basedOn w:val="Normal"/>
    <w:pPr>
      <w:spacing w:line="480" w:lineRule="auto"/>
      <w:ind w:firstLine="720"/>
      <w:jc w:val="both"/>
    </w:pPr>
    <w:rPr>
      <w:szCs w:val="24"/>
    </w:rPr>
  </w:style>
  <w:style w:type="paragraph" w:styleId="Footer">
    <w:name w:val="footer"/>
    <w:basedOn w:val="Normal"/>
    <w:semiHidden/>
    <w:pPr>
      <w:tabs>
        <w:tab w:val="center" w:pos="4680"/>
        <w:tab w:val="right" w:pos="9360"/>
      </w:tabs>
    </w:pPr>
    <w:rPr>
      <w:szCs w:val="24"/>
    </w:rPr>
  </w:style>
  <w:style w:type="paragraph" w:styleId="FootnoteText">
    <w:name w:val="footnote text"/>
    <w:basedOn w:val="Normal"/>
    <w:link w:val="FootnoteTextChar"/>
    <w:semiHidden/>
    <w:pPr>
      <w:spacing w:after="240"/>
      <w:ind w:firstLine="720"/>
    </w:pPr>
  </w:style>
  <w:style w:type="paragraph" w:styleId="Header">
    <w:name w:val="header"/>
    <w:basedOn w:val="Normal"/>
    <w:pPr>
      <w:tabs>
        <w:tab w:val="center" w:pos="4680"/>
        <w:tab w:val="right" w:pos="9360"/>
      </w:tabs>
    </w:pPr>
    <w:rPr>
      <w:szCs w:val="24"/>
    </w:rPr>
  </w:style>
  <w:style w:type="paragraph" w:styleId="Signature">
    <w:name w:val="Signature"/>
    <w:basedOn w:val="Normal"/>
    <w:pPr>
      <w:spacing w:after="240"/>
      <w:ind w:left="4320"/>
    </w:pPr>
    <w:rPr>
      <w:szCs w:val="24"/>
    </w:rPr>
  </w:style>
  <w:style w:type="paragraph" w:customStyle="1" w:styleId="TableText">
    <w:name w:val="Table Text"/>
    <w:basedOn w:val="Normal"/>
    <w:semiHidden/>
    <w:rPr>
      <w:szCs w:val="24"/>
    </w:rPr>
  </w:style>
  <w:style w:type="paragraph" w:styleId="Title">
    <w:name w:val="Title"/>
    <w:basedOn w:val="Normal"/>
    <w:qFormat/>
    <w:pPr>
      <w:keepNext/>
      <w:spacing w:after="240"/>
      <w:jc w:val="center"/>
      <w:outlineLvl w:val="0"/>
    </w:pPr>
    <w:rPr>
      <w:rFonts w:cs="Arial"/>
      <w:b/>
      <w:bCs/>
      <w:caps/>
      <w:szCs w:val="24"/>
    </w:rPr>
  </w:style>
  <w:style w:type="paragraph" w:customStyle="1" w:styleId="Title2">
    <w:name w:val="Title 2"/>
    <w:basedOn w:val="Normal"/>
    <w:next w:val="BodyTextFirstIndent"/>
    <w:pPr>
      <w:keepNext/>
      <w:spacing w:after="240"/>
      <w:jc w:val="center"/>
    </w:pPr>
    <w:rPr>
      <w:b/>
      <w:caps/>
      <w:szCs w:val="24"/>
      <w:u w:val="single"/>
    </w:rPr>
  </w:style>
  <w:style w:type="paragraph" w:customStyle="1" w:styleId="Title3">
    <w:name w:val="Title 3"/>
    <w:basedOn w:val="Normal"/>
    <w:next w:val="BodyTextFirstIndent"/>
    <w:pPr>
      <w:spacing w:after="240"/>
      <w:jc w:val="center"/>
    </w:pPr>
    <w:rPr>
      <w:b/>
      <w:szCs w:val="24"/>
    </w:rPr>
  </w:style>
  <w:style w:type="paragraph" w:customStyle="1" w:styleId="FooterLandscape">
    <w:name w:val="Footer Landscape"/>
    <w:basedOn w:val="Normal"/>
    <w:semiHidden/>
    <w:pPr>
      <w:tabs>
        <w:tab w:val="center" w:pos="6480"/>
        <w:tab w:val="right" w:pos="12960"/>
      </w:tabs>
    </w:pPr>
  </w:style>
  <w:style w:type="paragraph" w:customStyle="1" w:styleId="HeaderLandscape">
    <w:name w:val="Header Landscape"/>
    <w:basedOn w:val="Normal"/>
    <w:semiHidden/>
    <w:pPr>
      <w:tabs>
        <w:tab w:val="center" w:pos="6480"/>
        <w:tab w:val="right" w:pos="12960"/>
      </w:tabs>
    </w:pPr>
  </w:style>
  <w:style w:type="paragraph" w:styleId="ListNumber">
    <w:name w:val="List Number"/>
    <w:basedOn w:val="Normal"/>
    <w:pPr>
      <w:numPr>
        <w:numId w:val="2"/>
      </w:numPr>
      <w:spacing w:after="240"/>
      <w:jc w:val="both"/>
    </w:p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Title">
    <w:name w:val="Memo Title"/>
    <w:basedOn w:val="Normal"/>
    <w:semiHidden/>
    <w:pPr>
      <w:spacing w:after="240"/>
      <w:jc w:val="center"/>
    </w:pPr>
    <w:rPr>
      <w:b/>
      <w:smallCaps/>
      <w:sz w:val="44"/>
      <w:szCs w:val="44"/>
    </w:rPr>
  </w:style>
  <w:style w:type="paragraph" w:customStyle="1" w:styleId="MemoTable">
    <w:name w:val="Memo Table"/>
    <w:basedOn w:val="Normal"/>
    <w:link w:val="MemoTableChar"/>
    <w:semiHidden/>
  </w:style>
  <w:style w:type="character" w:styleId="PageNumber">
    <w:name w:val="page number"/>
    <w:basedOn w:val="DefaultParagraphFont"/>
    <w:semiHidden/>
  </w:style>
  <w:style w:type="paragraph" w:customStyle="1" w:styleId="bccList">
    <w:name w:val="bcc List"/>
    <w:basedOn w:val="Normal"/>
    <w:next w:val="BodyText"/>
    <w:semiHidden/>
    <w:pPr>
      <w:pageBreakBefore/>
      <w:ind w:left="720" w:hanging="720"/>
    </w:pPr>
  </w:style>
  <w:style w:type="paragraph" w:customStyle="1" w:styleId="ccList">
    <w:name w:val="cc List"/>
    <w:basedOn w:val="Normal"/>
    <w:semiHidden/>
    <w:pPr>
      <w:ind w:left="720" w:hanging="720"/>
    </w:pPr>
  </w:style>
  <w:style w:type="paragraph" w:customStyle="1" w:styleId="Initials">
    <w:name w:val="Initials"/>
    <w:basedOn w:val="Normal"/>
    <w:next w:val="Normal"/>
    <w:semiHidden/>
  </w:style>
  <w:style w:type="paragraph" w:customStyle="1" w:styleId="DocID">
    <w:name w:val="DocID"/>
    <w:basedOn w:val="Footer"/>
    <w:next w:val="Footer"/>
    <w:link w:val="DocIDChar"/>
    <w:rsid w:val="000067B7"/>
    <w:pPr>
      <w:tabs>
        <w:tab w:val="clear" w:pos="4680"/>
        <w:tab w:val="clear" w:pos="9360"/>
      </w:tabs>
    </w:pPr>
    <w:rPr>
      <w:rFonts w:ascii="Times New Roman" w:hAnsi="Times New Roman"/>
      <w:caps/>
      <w:sz w:val="16"/>
    </w:rPr>
  </w:style>
  <w:style w:type="paragraph" w:styleId="List">
    <w:name w:val="List"/>
    <w:basedOn w:val="Normal"/>
    <w:semiHidden/>
    <w:pPr>
      <w:spacing w:after="240"/>
      <w:ind w:left="720"/>
      <w:jc w:val="both"/>
    </w:pPr>
    <w:rPr>
      <w:szCs w:val="24"/>
    </w:rPr>
  </w:style>
  <w:style w:type="paragraph" w:styleId="List2">
    <w:name w:val="List 2"/>
    <w:basedOn w:val="Normal"/>
    <w:semiHidden/>
    <w:pPr>
      <w:spacing w:after="240"/>
      <w:ind w:left="1440"/>
      <w:jc w:val="both"/>
    </w:pPr>
    <w:rPr>
      <w:szCs w:val="24"/>
    </w:rPr>
  </w:style>
  <w:style w:type="paragraph" w:styleId="List3">
    <w:name w:val="List 3"/>
    <w:basedOn w:val="Normal"/>
    <w:semiHidden/>
    <w:pPr>
      <w:spacing w:after="240"/>
      <w:ind w:left="2160"/>
      <w:jc w:val="both"/>
    </w:pPr>
    <w:rPr>
      <w:szCs w:val="24"/>
    </w:rPr>
  </w:style>
  <w:style w:type="paragraph" w:styleId="List4">
    <w:name w:val="List 4"/>
    <w:basedOn w:val="Normal"/>
    <w:semiHidden/>
    <w:pPr>
      <w:spacing w:after="240"/>
      <w:ind w:left="2880"/>
      <w:jc w:val="both"/>
    </w:pPr>
    <w:rPr>
      <w:szCs w:val="24"/>
    </w:rPr>
  </w:style>
  <w:style w:type="paragraph" w:styleId="List5">
    <w:name w:val="List 5"/>
    <w:basedOn w:val="Normal"/>
    <w:semiHidden/>
    <w:pPr>
      <w:spacing w:after="240"/>
      <w:ind w:left="3600"/>
      <w:jc w:val="both"/>
    </w:pPr>
    <w:rPr>
      <w:szCs w:val="24"/>
    </w:rPr>
  </w:style>
  <w:style w:type="paragraph" w:customStyle="1" w:styleId="cclist0">
    <w:name w:val="cc list"/>
    <w:basedOn w:val="Normal"/>
    <w:semiHidden/>
  </w:style>
  <w:style w:type="paragraph" w:customStyle="1" w:styleId="bcclist0">
    <w:name w:val="bcc list"/>
    <w:basedOn w:val="cclist0"/>
    <w:semiHidden/>
    <w:pPr>
      <w:pageBreakBefore/>
    </w:pPr>
  </w:style>
  <w:style w:type="character" w:styleId="FootnoteReference">
    <w:name w:val="footnote reference"/>
    <w:basedOn w:val="DefaultParagraphFont"/>
    <w:semiHidden/>
    <w:rPr>
      <w:vertAlign w:val="superscript"/>
    </w:rPr>
  </w:style>
  <w:style w:type="character" w:styleId="PlaceholderText">
    <w:name w:val="Placeholder Text"/>
    <w:basedOn w:val="DefaultParagraphFont"/>
    <w:uiPriority w:val="99"/>
    <w:semiHidden/>
    <w:rsid w:val="0044583B"/>
    <w:rPr>
      <w:color w:val="808080"/>
    </w:rPr>
  </w:style>
  <w:style w:type="paragraph" w:styleId="Date">
    <w:name w:val="Date"/>
    <w:basedOn w:val="Normal"/>
    <w:next w:val="Normal"/>
    <w:link w:val="DateChar"/>
    <w:rsid w:val="006B2804"/>
  </w:style>
  <w:style w:type="character" w:customStyle="1" w:styleId="DateChar">
    <w:name w:val="Date Char"/>
    <w:basedOn w:val="DefaultParagraphFont"/>
    <w:link w:val="Date"/>
    <w:rsid w:val="006B2804"/>
    <w:rPr>
      <w:sz w:val="24"/>
    </w:rPr>
  </w:style>
  <w:style w:type="paragraph" w:customStyle="1" w:styleId="UnnumberedHeading1">
    <w:name w:val="Unnumbered Heading 1"/>
    <w:basedOn w:val="Normal"/>
    <w:rsid w:val="00B55A66"/>
    <w:pPr>
      <w:spacing w:after="240"/>
      <w:jc w:val="both"/>
    </w:pPr>
    <w:rPr>
      <w:b/>
      <w:caps/>
    </w:rPr>
  </w:style>
  <w:style w:type="paragraph" w:customStyle="1" w:styleId="IRSCircular">
    <w:name w:val="IRS Circular"/>
    <w:basedOn w:val="UnnumberedHeading1"/>
    <w:rsid w:val="00B55A66"/>
    <w:pPr>
      <w:spacing w:before="240" w:after="0"/>
    </w:pPr>
  </w:style>
  <w:style w:type="paragraph" w:styleId="BalloonText">
    <w:name w:val="Balloon Text"/>
    <w:basedOn w:val="Normal"/>
    <w:link w:val="BalloonTextChar"/>
    <w:rsid w:val="00EA48ED"/>
    <w:rPr>
      <w:rFonts w:ascii="Tahoma" w:hAnsi="Tahoma" w:cs="Tahoma"/>
      <w:sz w:val="16"/>
      <w:szCs w:val="16"/>
    </w:rPr>
  </w:style>
  <w:style w:type="character" w:customStyle="1" w:styleId="BalloonTextChar">
    <w:name w:val="Balloon Text Char"/>
    <w:basedOn w:val="DefaultParagraphFont"/>
    <w:link w:val="BalloonText"/>
    <w:rsid w:val="00EA48ED"/>
    <w:rPr>
      <w:rFonts w:ascii="Tahoma" w:hAnsi="Tahoma" w:cs="Tahoma"/>
      <w:sz w:val="16"/>
      <w:szCs w:val="16"/>
    </w:rPr>
  </w:style>
  <w:style w:type="paragraph" w:customStyle="1" w:styleId="Delivery">
    <w:name w:val="Delivery"/>
    <w:basedOn w:val="Normal"/>
    <w:semiHidden/>
    <w:rsid w:val="00E717CA"/>
    <w:pPr>
      <w:spacing w:after="240"/>
    </w:pPr>
    <w:rPr>
      <w:rFonts w:ascii="Times New Roman" w:hAnsi="Times New Roman"/>
      <w:b/>
      <w:sz w:val="24"/>
      <w:szCs w:val="24"/>
    </w:rPr>
  </w:style>
  <w:style w:type="paragraph" w:customStyle="1" w:styleId="Enclosure">
    <w:name w:val="Enclosure"/>
    <w:basedOn w:val="Normal"/>
    <w:next w:val="ccList"/>
    <w:semiHidden/>
    <w:rsid w:val="001714FD"/>
    <w:rPr>
      <w:sz w:val="20"/>
    </w:rPr>
  </w:style>
  <w:style w:type="paragraph" w:customStyle="1" w:styleId="PrivilegeBlock">
    <w:name w:val="PrivilegeBlock"/>
    <w:basedOn w:val="Normal"/>
    <w:rsid w:val="00144AC0"/>
    <w:pPr>
      <w:spacing w:before="240" w:after="240" w:line="240" w:lineRule="atLeast"/>
    </w:pPr>
    <w:rPr>
      <w:rFonts w:cs="Arial"/>
      <w:b/>
      <w:caps/>
      <w:szCs w:val="22"/>
    </w:rPr>
  </w:style>
  <w:style w:type="paragraph" w:customStyle="1" w:styleId="TaxInfo">
    <w:name w:val="TaxInfo"/>
    <w:basedOn w:val="Normal"/>
    <w:rsid w:val="00D06997"/>
    <w:pPr>
      <w:jc w:val="both"/>
    </w:pPr>
    <w:rPr>
      <w:b/>
      <w:caps/>
    </w:rPr>
  </w:style>
  <w:style w:type="character" w:styleId="Hyperlink">
    <w:name w:val="Hyperlink"/>
    <w:basedOn w:val="DefaultParagraphFont"/>
    <w:uiPriority w:val="99"/>
    <w:unhideWhenUsed/>
    <w:rsid w:val="001D7666"/>
    <w:rPr>
      <w:color w:val="0000FF"/>
      <w:u w:val="single"/>
    </w:rPr>
  </w:style>
  <w:style w:type="character" w:customStyle="1" w:styleId="MemoTableChar">
    <w:name w:val="Memo Table Char"/>
    <w:basedOn w:val="DefaultParagraphFont"/>
    <w:link w:val="MemoTable"/>
    <w:semiHidden/>
    <w:rsid w:val="00AA04EC"/>
    <w:rPr>
      <w:rFonts w:ascii="Arial" w:hAnsi="Arial"/>
      <w:sz w:val="22"/>
    </w:rPr>
  </w:style>
  <w:style w:type="character" w:customStyle="1" w:styleId="DocIDChar">
    <w:name w:val="DocID Char"/>
    <w:basedOn w:val="DefaultParagraphFont"/>
    <w:link w:val="DocID"/>
    <w:rsid w:val="000067B7"/>
    <w:rPr>
      <w:caps/>
      <w:sz w:val="16"/>
      <w:szCs w:val="24"/>
    </w:rPr>
  </w:style>
  <w:style w:type="character" w:customStyle="1" w:styleId="BodyTextChar">
    <w:name w:val="Body Text Char"/>
    <w:basedOn w:val="DefaultParagraphFont"/>
    <w:link w:val="BodyText"/>
    <w:rsid w:val="00A53222"/>
    <w:rPr>
      <w:rFonts w:ascii="Arial" w:hAnsi="Arial"/>
      <w:sz w:val="22"/>
      <w:szCs w:val="24"/>
    </w:rPr>
  </w:style>
  <w:style w:type="character" w:customStyle="1" w:styleId="FootnoteTextChar">
    <w:name w:val="Footnote Text Char"/>
    <w:basedOn w:val="DefaultParagraphFont"/>
    <w:link w:val="FootnoteText"/>
    <w:semiHidden/>
    <w:rsid w:val="00A53222"/>
    <w:rPr>
      <w:rFonts w:ascii="Arial" w:hAnsi="Arial"/>
      <w:sz w:val="22"/>
    </w:rPr>
  </w:style>
  <w:style w:type="character" w:customStyle="1" w:styleId="apple-converted-space">
    <w:name w:val="apple-converted-space"/>
    <w:basedOn w:val="DefaultParagraphFont"/>
    <w:rsid w:val="00A53222"/>
  </w:style>
  <w:style w:type="character" w:customStyle="1" w:styleId="cosearchterm">
    <w:name w:val="co_searchterm"/>
    <w:basedOn w:val="DefaultParagraphFont"/>
    <w:rsid w:val="00A53222"/>
  </w:style>
  <w:style w:type="paragraph" w:styleId="ListParagraph">
    <w:name w:val="List Paragraph"/>
    <w:basedOn w:val="Normal"/>
    <w:uiPriority w:val="34"/>
    <w:qFormat/>
    <w:rsid w:val="002A408A"/>
    <w:pPr>
      <w:ind w:left="720"/>
      <w:contextualSpacing/>
    </w:pPr>
  </w:style>
  <w:style w:type="paragraph" w:styleId="EndnoteText">
    <w:name w:val="endnote text"/>
    <w:basedOn w:val="Normal"/>
    <w:link w:val="EndnoteTextChar"/>
    <w:rsid w:val="00B21A3F"/>
    <w:rPr>
      <w:sz w:val="20"/>
    </w:rPr>
  </w:style>
  <w:style w:type="character" w:customStyle="1" w:styleId="EndnoteTextChar">
    <w:name w:val="Endnote Text Char"/>
    <w:basedOn w:val="DefaultParagraphFont"/>
    <w:link w:val="EndnoteText"/>
    <w:rsid w:val="00B21A3F"/>
    <w:rPr>
      <w:rFonts w:ascii="Arial" w:hAnsi="Arial"/>
    </w:rPr>
  </w:style>
  <w:style w:type="character" w:styleId="EndnoteReference">
    <w:name w:val="endnote reference"/>
    <w:basedOn w:val="DefaultParagraphFont"/>
    <w:rsid w:val="00B21A3F"/>
    <w:rPr>
      <w:vertAlign w:val="superscript"/>
    </w:rPr>
  </w:style>
  <w:style w:type="paragraph" w:styleId="NormalWeb">
    <w:name w:val="Normal (Web)"/>
    <w:basedOn w:val="Normal"/>
    <w:uiPriority w:val="99"/>
    <w:unhideWhenUsed/>
    <w:rsid w:val="00E31D67"/>
    <w:pPr>
      <w:spacing w:before="100" w:beforeAutospacing="1" w:after="100" w:afterAutospacing="1"/>
    </w:pPr>
    <w:rPr>
      <w:rFonts w:ascii="Times New Roman" w:hAnsi="Times New Roman"/>
      <w:sz w:val="24"/>
      <w:szCs w:val="24"/>
    </w:rPr>
  </w:style>
  <w:style w:type="paragraph" w:customStyle="1" w:styleId="m-5682902469826802240m5509310536478363241msoplaintext">
    <w:name w:val="m_-5682902469826802240m5509310536478363241msoplaintext"/>
    <w:basedOn w:val="Normal"/>
    <w:rsid w:val="00D87226"/>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3130">
      <w:bodyDiv w:val="1"/>
      <w:marLeft w:val="0"/>
      <w:marRight w:val="0"/>
      <w:marTop w:val="0"/>
      <w:marBottom w:val="0"/>
      <w:divBdr>
        <w:top w:val="none" w:sz="0" w:space="0" w:color="auto"/>
        <w:left w:val="none" w:sz="0" w:space="0" w:color="auto"/>
        <w:bottom w:val="none" w:sz="0" w:space="0" w:color="auto"/>
        <w:right w:val="none" w:sz="0" w:space="0" w:color="auto"/>
      </w:divBdr>
    </w:div>
    <w:div w:id="219753091">
      <w:bodyDiv w:val="1"/>
      <w:marLeft w:val="0"/>
      <w:marRight w:val="0"/>
      <w:marTop w:val="0"/>
      <w:marBottom w:val="0"/>
      <w:divBdr>
        <w:top w:val="none" w:sz="0" w:space="0" w:color="auto"/>
        <w:left w:val="none" w:sz="0" w:space="0" w:color="auto"/>
        <w:bottom w:val="none" w:sz="0" w:space="0" w:color="auto"/>
        <w:right w:val="none" w:sz="0" w:space="0" w:color="auto"/>
      </w:divBdr>
    </w:div>
    <w:div w:id="593631100">
      <w:bodyDiv w:val="1"/>
      <w:marLeft w:val="0"/>
      <w:marRight w:val="0"/>
      <w:marTop w:val="0"/>
      <w:marBottom w:val="0"/>
      <w:divBdr>
        <w:top w:val="none" w:sz="0" w:space="0" w:color="auto"/>
        <w:left w:val="none" w:sz="0" w:space="0" w:color="auto"/>
        <w:bottom w:val="none" w:sz="0" w:space="0" w:color="auto"/>
        <w:right w:val="none" w:sz="0" w:space="0" w:color="auto"/>
      </w:divBdr>
    </w:div>
    <w:div w:id="674041519">
      <w:bodyDiv w:val="1"/>
      <w:marLeft w:val="0"/>
      <w:marRight w:val="0"/>
      <w:marTop w:val="0"/>
      <w:marBottom w:val="0"/>
      <w:divBdr>
        <w:top w:val="none" w:sz="0" w:space="0" w:color="auto"/>
        <w:left w:val="none" w:sz="0" w:space="0" w:color="auto"/>
        <w:bottom w:val="none" w:sz="0" w:space="0" w:color="auto"/>
        <w:right w:val="none" w:sz="0" w:space="0" w:color="auto"/>
      </w:divBdr>
    </w:div>
    <w:div w:id="709063942">
      <w:bodyDiv w:val="1"/>
      <w:marLeft w:val="0"/>
      <w:marRight w:val="0"/>
      <w:marTop w:val="0"/>
      <w:marBottom w:val="0"/>
      <w:divBdr>
        <w:top w:val="none" w:sz="0" w:space="0" w:color="auto"/>
        <w:left w:val="none" w:sz="0" w:space="0" w:color="auto"/>
        <w:bottom w:val="none" w:sz="0" w:space="0" w:color="auto"/>
        <w:right w:val="none" w:sz="0" w:space="0" w:color="auto"/>
      </w:divBdr>
    </w:div>
    <w:div w:id="871071481">
      <w:bodyDiv w:val="1"/>
      <w:marLeft w:val="0"/>
      <w:marRight w:val="0"/>
      <w:marTop w:val="0"/>
      <w:marBottom w:val="0"/>
      <w:divBdr>
        <w:top w:val="none" w:sz="0" w:space="0" w:color="auto"/>
        <w:left w:val="none" w:sz="0" w:space="0" w:color="auto"/>
        <w:bottom w:val="none" w:sz="0" w:space="0" w:color="auto"/>
        <w:right w:val="none" w:sz="0" w:space="0" w:color="auto"/>
      </w:divBdr>
    </w:div>
    <w:div w:id="894775543">
      <w:bodyDiv w:val="1"/>
      <w:marLeft w:val="0"/>
      <w:marRight w:val="0"/>
      <w:marTop w:val="0"/>
      <w:marBottom w:val="0"/>
      <w:divBdr>
        <w:top w:val="none" w:sz="0" w:space="0" w:color="auto"/>
        <w:left w:val="none" w:sz="0" w:space="0" w:color="auto"/>
        <w:bottom w:val="none" w:sz="0" w:space="0" w:color="auto"/>
        <w:right w:val="none" w:sz="0" w:space="0" w:color="auto"/>
      </w:divBdr>
    </w:div>
    <w:div w:id="1040321573">
      <w:bodyDiv w:val="1"/>
      <w:marLeft w:val="0"/>
      <w:marRight w:val="0"/>
      <w:marTop w:val="0"/>
      <w:marBottom w:val="0"/>
      <w:divBdr>
        <w:top w:val="none" w:sz="0" w:space="0" w:color="auto"/>
        <w:left w:val="none" w:sz="0" w:space="0" w:color="auto"/>
        <w:bottom w:val="none" w:sz="0" w:space="0" w:color="auto"/>
        <w:right w:val="none" w:sz="0" w:space="0" w:color="auto"/>
      </w:divBdr>
      <w:divsChild>
        <w:div w:id="1943805298">
          <w:marLeft w:val="0"/>
          <w:marRight w:val="0"/>
          <w:marTop w:val="150"/>
          <w:marBottom w:val="150"/>
          <w:divBdr>
            <w:top w:val="single" w:sz="6" w:space="0" w:color="9B9A7A"/>
            <w:left w:val="single" w:sz="6" w:space="0" w:color="9B9A7A"/>
            <w:bottom w:val="single" w:sz="6" w:space="0" w:color="9B9A7A"/>
            <w:right w:val="single" w:sz="6" w:space="0" w:color="9B9A7A"/>
          </w:divBdr>
          <w:divsChild>
            <w:div w:id="1845784987">
              <w:marLeft w:val="0"/>
              <w:marRight w:val="0"/>
              <w:marTop w:val="0"/>
              <w:marBottom w:val="0"/>
              <w:divBdr>
                <w:top w:val="none" w:sz="0" w:space="0" w:color="auto"/>
                <w:left w:val="none" w:sz="0" w:space="0" w:color="auto"/>
                <w:bottom w:val="none" w:sz="0" w:space="0" w:color="auto"/>
                <w:right w:val="none" w:sz="0" w:space="0" w:color="auto"/>
              </w:divBdr>
              <w:divsChild>
                <w:div w:id="1213080167">
                  <w:marLeft w:val="3225"/>
                  <w:marRight w:val="225"/>
                  <w:marTop w:val="0"/>
                  <w:marBottom w:val="0"/>
                  <w:divBdr>
                    <w:top w:val="none" w:sz="0" w:space="0" w:color="auto"/>
                    <w:left w:val="none" w:sz="0" w:space="0" w:color="auto"/>
                    <w:bottom w:val="none" w:sz="0" w:space="0" w:color="auto"/>
                    <w:right w:val="none" w:sz="0" w:space="0" w:color="auto"/>
                  </w:divBdr>
                  <w:divsChild>
                    <w:div w:id="7091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85568">
      <w:bodyDiv w:val="1"/>
      <w:marLeft w:val="0"/>
      <w:marRight w:val="0"/>
      <w:marTop w:val="0"/>
      <w:marBottom w:val="0"/>
      <w:divBdr>
        <w:top w:val="none" w:sz="0" w:space="0" w:color="auto"/>
        <w:left w:val="none" w:sz="0" w:space="0" w:color="auto"/>
        <w:bottom w:val="none" w:sz="0" w:space="0" w:color="auto"/>
        <w:right w:val="none" w:sz="0" w:space="0" w:color="auto"/>
      </w:divBdr>
    </w:div>
    <w:div w:id="1458837556">
      <w:bodyDiv w:val="1"/>
      <w:marLeft w:val="0"/>
      <w:marRight w:val="0"/>
      <w:marTop w:val="0"/>
      <w:marBottom w:val="0"/>
      <w:divBdr>
        <w:top w:val="none" w:sz="0" w:space="0" w:color="auto"/>
        <w:left w:val="none" w:sz="0" w:space="0" w:color="auto"/>
        <w:bottom w:val="none" w:sz="0" w:space="0" w:color="auto"/>
        <w:right w:val="none" w:sz="0" w:space="0" w:color="auto"/>
      </w:divBdr>
    </w:div>
    <w:div w:id="1801147630">
      <w:bodyDiv w:val="1"/>
      <w:marLeft w:val="0"/>
      <w:marRight w:val="0"/>
      <w:marTop w:val="0"/>
      <w:marBottom w:val="0"/>
      <w:divBdr>
        <w:top w:val="none" w:sz="0" w:space="0" w:color="auto"/>
        <w:left w:val="none" w:sz="0" w:space="0" w:color="auto"/>
        <w:bottom w:val="none" w:sz="0" w:space="0" w:color="auto"/>
        <w:right w:val="none" w:sz="0" w:space="0" w:color="auto"/>
      </w:divBdr>
    </w:div>
    <w:div w:id="1863393281">
      <w:bodyDiv w:val="1"/>
      <w:marLeft w:val="0"/>
      <w:marRight w:val="0"/>
      <w:marTop w:val="0"/>
      <w:marBottom w:val="0"/>
      <w:divBdr>
        <w:top w:val="none" w:sz="0" w:space="0" w:color="auto"/>
        <w:left w:val="none" w:sz="0" w:space="0" w:color="auto"/>
        <w:bottom w:val="none" w:sz="0" w:space="0" w:color="auto"/>
        <w:right w:val="none" w:sz="0" w:space="0" w:color="auto"/>
      </w:divBdr>
    </w:div>
    <w:div w:id="21410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administrative/breachnotificationrule/brinstruction.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hs.gov/hipaa/for-professionals/compliance-enforcement/agreements/index.html"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ie.Smith.HCCA.000\AppData\Local\Microsoft\Windows\Temporary%20Internet%20Fil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7</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Beckie</dc:creator>
  <cp:lastModifiedBy>Smith, Beckie</cp:lastModifiedBy>
  <cp:revision>2</cp:revision>
  <dcterms:created xsi:type="dcterms:W3CDTF">2017-03-28T17:29:00Z</dcterms:created>
  <dcterms:modified xsi:type="dcterms:W3CDTF">2017-03-28T17:29:00Z</dcterms:modified>
</cp:coreProperties>
</file>